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FORM GST APL-01</w:t>
      </w:r>
    </w:p>
    <w:p>
      <w:pPr>
        <w:spacing w:after="120"/>
        <w:jc w:val="center"/>
      </w:pPr>
      <w:r>
        <w:rPr>
          <w:rFonts w:ascii="Times New Roman" w:cs="Times New Roman" w:eastAsia="Times New Roman" w:hAnsi="Times New Roman"/>
          <w:b/>
          <w:bCs/>
          <w:sz w:val="24"/>
          <w:szCs w:val="24"/>
        </w:rPr>
        <w:t xml:space="preserve">(Appeal to the Appellate Authority under Section 107 of the CGST Act, 2017) [See Rule 108(1)]</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merits: the demand in DRC-07 was confirmed though only an ASMT-10 was issued and NO show cause notice in Form DRC-01 was issued. A demand under Section 73/74 must be preceded by a proper DRC-01 SCN (Rule 142(1)); ASMT-10 is not a substitute, and Section 75(4) requires a hearing. Order without DRC-01 is void.</w:t>
      </w:r>
    </w:p>
    <w:p>
      <w:pPr>
        <w:spacing w:after="80"/>
        <w:jc w:val="both"/>
      </w:pPr>
      <w:r>
        <w:rPr>
          <w:rFonts w:ascii="Times New Roman" w:cs="Times New Roman" w:eastAsia="Times New Roman" w:hAnsi="Times New Roman"/>
          <w:i/>
          <w:iCs/>
          <w:sz w:val="24"/>
          <w:szCs w:val="24"/>
        </w:rPr>
        <w:t xml:space="preserve">Authority: lead with Madras HC (Vadivel Pyrotech, W.P.(MD) 22642/2022, 27.09.2022) and Gauhati HC (Construction Catalysers, 26.09.2024). Treat the HP HC orders (Prime Steel Industries, CWP 2785/2024, 03.04.2024; Hindustan Construction, CWP 1827/2024, 12.03.2024) as INTERIM stays — corroborative only. Amex Services (Calcutta HC, W.P. 9391/2024, 22.05.2024) is supporting only; verify the order text directly before front-lining it. Anticipate an alternative-remedy objection outside Gauhati/Jharkhand.</w:t>
      </w:r>
    </w:p>
    <w:p>
      <w:pPr>
        <w:spacing w:after="80"/>
        <w:jc w:val="both"/>
      </w:pPr>
      <w:r>
        <w:rPr>
          <w:rFonts w:ascii="Times New Roman" w:cs="Times New Roman" w:eastAsia="Times New Roman" w:hAnsi="Times New Roman"/>
          <w:i/>
          <w:iCs/>
          <w:sz w:val="24"/>
          <w:szCs w:val="24"/>
        </w:rPr>
        <w:t xml:space="preserve">Pre-deposit (compute-by-date): Section 107(6) requires 10% of the disputed tax through the Electronic Cash Ledger (cap Rs. 20 crore CGST). Compute and annex the challan.</w:t>
      </w:r>
    </w:p>
    <w:p>
      <w:pPr>
        <w:spacing w:after="80"/>
        <w:jc w:val="both"/>
      </w:pPr>
      <w:r>
        <w:rPr>
          <w:rFonts w:ascii="Times New Roman" w:cs="Times New Roman" w:eastAsia="Times New Roman" w:hAnsi="Times New Roman"/>
          <w:i/>
          <w:iCs/>
          <w:sz w:val="24"/>
          <w:szCs w:val="24"/>
        </w:rPr>
        <w:t xml:space="preserve">Placeholders: DRC-07 reference/date, ASMT-10 date and allegation, ASMT-11 reply date, disputed tax, appellate authority designation.</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1. GSTIN</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____________________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2. Legal name of the appellant</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M/s Notice Desk Private Limited</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3. Address</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____________________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4. Order appealed against – No. and date</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Order-in-Original / Summary in Form GST DRC-07 No. ____ dated 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5. Designation of the officer who passed the order</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Proper Officer of State Tax, [Ward]</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6. Date of communication of the order</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7. Whether appeal within limitation (3 months)</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Yes – filed within three months of communication</w:t>
            </w:r>
          </w:p>
        </w:tc>
      </w:tr>
    </w:tbl>
    <w:p>
      <w:pPr>
        <w:spacing w:after="160" w:line="276"/>
        <w:jc w:val="both"/>
      </w:pPr>
      <w:r>
        <w:rPr>
          <w:rFonts w:ascii="Times New Roman" w:cs="Times New Roman" w:eastAsia="Times New Roman" w:hAnsi="Times New Roman"/>
          <w:b/>
          <w:bCs/>
          <w:sz w:val="24"/>
          <w:szCs w:val="24"/>
        </w:rPr>
        <w:t xml:space="preserve">14. Amount of demand created, admitted and disputed: </w:t>
      </w:r>
      <w:r>
        <w:rPr>
          <w:rFonts w:ascii="Times New Roman" w:cs="Times New Roman" w:eastAsia="Times New Roman" w:hAnsi="Times New Roman"/>
          <w:sz w:val="24"/>
          <w:szCs w:val="24"/>
        </w:rPr>
        <w:t xml:space="preserve">created Rs. ____; admitted NIL; disputed Rs. ____.</w:t>
      </w:r>
    </w:p>
    <w:p>
      <w:pPr>
        <w:spacing w:after="160" w:line="276"/>
        <w:jc w:val="both"/>
      </w:pPr>
      <w:r>
        <w:rPr>
          <w:rFonts w:ascii="Times New Roman" w:cs="Times New Roman" w:eastAsia="Times New Roman" w:hAnsi="Times New Roman"/>
          <w:b/>
          <w:bCs/>
          <w:sz w:val="24"/>
          <w:szCs w:val="24"/>
        </w:rPr>
        <w:t xml:space="preserve">15. Details of payment of admitted amount and pre-deposit: </w:t>
      </w:r>
      <w:r>
        <w:rPr>
          <w:rFonts w:ascii="Times New Roman" w:cs="Times New Roman" w:eastAsia="Times New Roman" w:hAnsi="Times New Roman"/>
          <w:sz w:val="24"/>
          <w:szCs w:val="24"/>
        </w:rPr>
        <w:t xml:space="preserve">admitted amount NIL; pre-deposit of 10% of the disputed tax of Rs. ____ paid through the Electronic Cash Ledger vide DRC-03 / debit entry No. ____ dated ________.</w:t>
      </w:r>
    </w:p>
    <w:p>
      <w:pPr>
        <w:spacing w:after="120" w:before="160"/>
        <w:jc w:val="left"/>
      </w:pPr>
      <w:r>
        <w:rPr>
          <w:rFonts w:ascii="Times New Roman" w:cs="Times New Roman" w:eastAsia="Times New Roman" w:hAnsi="Times New Roman"/>
          <w:b/>
          <w:bCs/>
          <w:sz w:val="24"/>
          <w:szCs w:val="24"/>
        </w:rPr>
        <w:t xml:space="preserve">ANNEXURE A — Statement of Facts</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appellant was served a notice in Form GST ASMT-10 dated ________ under Section 61 read with Rule 99, alleging ________, and replied thereto in Form GST ASMT-11 on ________.</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Thereafter, without issuing any Show Cause Notice in Form GST DRC-01 under Section 73/74 read with Rule 142(1), the Proper Officer straightaway issued a demand in Form GST DRC-07 dated ________ confirming a demand of Rs. ____. Hence this appeal.</w:t>
      </w:r>
    </w:p>
    <w:p>
      <w:pPr>
        <w:spacing w:after="120" w:before="160"/>
        <w:jc w:val="left"/>
      </w:pPr>
      <w:r>
        <w:rPr>
          <w:rFonts w:ascii="Times New Roman" w:cs="Times New Roman" w:eastAsia="Times New Roman" w:hAnsi="Times New Roman"/>
          <w:b/>
          <w:bCs/>
          <w:sz w:val="24"/>
          <w:szCs w:val="24"/>
        </w:rPr>
        <w:t xml:space="preserve">ANNEXURE B — Grounds of Appeal</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A Show Cause Notice in Form DRC-01 is mandatory before any demand. A demand under Section 73/74 must be preceded by a show cause notice in Form GST DRC-01 issued under Rule 142(1). No such notice was issued. The demand is therefore without jurisdiction and void.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ASMT-10 is not a substitute for a DRC-01 show cause notice. Scrutiny under Section 61 read with Rule 99 culminates, where the explanation is not accepted, in action under Sections 73/74 — which itself requires a DRC-01. The ASMT-10 cannot do duty for the show cause notice; nor can the demand travel beyond the matters flagged in the ASMT-10. Reliance is placed on the Madras High Court in Vadivel Pyrotech Pvt. Ltd. (W.P.(MD) No. 22642 of 2022, 27.09.2022) and the Gauhati High Court in Construction Catalysers Pvt. Ltd. v. State of Assam (26.09.2024).</w:t>
      </w:r>
      <w:r>
        <w:rPr>
          <w:rFonts w:ascii="Times New Roman" w:cs="Times New Roman" w:eastAsia="Times New Roman" w:hAnsi="Times New Roman"/>
          <w:b/>
          <w:bCs/>
          <w:sz w:val="24"/>
          <w:szCs w:val="24"/>
        </w:rPr>
        <w:t xml:space="preserve"> [VERIFY]</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Breach of the mandatory hearing under Section 75(4). No opportunity of personal hearing was afforded before confirming the demand, in breach of Section 75(4) and the principles of natural justice.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order is, in consequence, a nullity and liable to be set aside, reliance being placed on the line of authority holding that a demand without a proper DRC-01 cannot be sustained.</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4"/>
        </w:numPr>
        <w:spacing w:after="160" w:line="276"/>
        <w:jc w:val="both"/>
      </w:pPr>
      <w:r>
        <w:rPr>
          <w:rFonts w:ascii="Times New Roman" w:cs="Times New Roman" w:eastAsia="Times New Roman" w:hAnsi="Times New Roman"/>
          <w:sz w:val="24"/>
          <w:szCs w:val="24"/>
        </w:rPr>
        <w:t xml:space="preserve">It is respectfully prayed that the impugned order in Form DRC-07 be set aside as having been passed without a show cause notice in Form DRC-01 and without hearing; and, in the alternative, that the matter be remanded for issuance of a proper notice and adjudication in accordance with law.</w:t>
      </w:r>
    </w:p>
    <w:p>
      <w:pPr>
        <w:spacing w:after="160" w:line="276"/>
        <w:jc w:val="both"/>
      </w:pPr>
      <w:r>
        <w:rPr>
          <w:rFonts w:ascii="Times New Roman" w:cs="Times New Roman" w:eastAsia="Times New Roman" w:hAnsi="Times New Roman"/>
          <w:i/>
          <w:iCs/>
          <w:sz w:val="24"/>
          <w:szCs w:val="24"/>
        </w:rPr>
        <w:t xml:space="preserve">The appellant craves leave to add to, alter or amend any of the grounds of appeal at or before the hearing.</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GSTAT-stage note: if relief is not obtained at the first-appeal stage, the next remedy lies before the GST Appellate Tribunal under Section 112. Re-check the notified limitation and pre-deposit applicable at the Tribunal stage before any further appeal.</w:t>
      </w:r>
    </w:p>
    <w:p>
      <w:pPr>
        <w:spacing w:after="80"/>
      </w:pPr>
      <w:r>
        <w:rPr>
          <w:rFonts w:ascii="Times New Roman" w:cs="Times New Roman" w:eastAsia="Times New Roman" w:hAnsi="Times New Roman"/>
          <w:sz w:val="24"/>
          <w:szCs w:val="24"/>
        </w:rPr>
        <w:t xml:space="preserve"/>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2026-06-14T14:46:47.373Z</dcterms:created>
  <dcterms:modified xsi:type="dcterms:W3CDTF">2026-06-14T14:46:47.373Z</dcterms:modified>
</cp:coreProperties>
</file>

<file path=docProps/custom.xml><?xml version="1.0" encoding="utf-8"?>
<Properties xmlns="http://schemas.openxmlformats.org/officeDocument/2006/custom-properties" xmlns:vt="http://schemas.openxmlformats.org/officeDocument/2006/docPropsVTypes"/>
</file>