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Proper Officer,</w:t>
      </w:r>
    </w:p>
    <w:p>
      <w:pPr>
        <w:spacing w:after="160"/>
        <w:jc w:val="left"/>
      </w:pPr>
      <w:r>
        <w:rPr>
          <w:rFonts w:ascii="Times New Roman" w:cs="Times New Roman" w:eastAsia="Times New Roman" w:hAnsi="Times New Roman"/>
          <w:sz w:val="24"/>
          <w:szCs w:val="24"/>
        </w:rPr>
        <w:t xml:space="preserve">Goods and Services Tax Department,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Form DRC-01)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DRC-01 demanding interest under Section 50 for belated filing of GSTR-3B for the period July 2017 to March 2018.</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Two surviving levers (the GSTR-3B-is-not-a-return argument is DEAD — do not plead it; AAP &amp; Co. was reversed by the Supreme Court and neutralised by the retrospective Rule 61(5) amendment): (1) interest runs only from the EXTENDED/notified due date to the actual date of filing — the SCN wrongly took the generic 20th for July 2017 (due 25/28.08.2017) and December 2017 (due 22.01.2018); (2) interest is chargeable only on the NET CASH component under the proviso to Section 50(1), retrospective from 01.07.2017.</w:t>
      </w:r>
    </w:p>
    <w:p>
      <w:pPr>
        <w:spacing w:after="80"/>
        <w:jc w:val="both"/>
      </w:pPr>
      <w:r>
        <w:rPr>
          <w:rFonts w:ascii="Times New Roman" w:cs="Times New Roman" w:eastAsia="Times New Roman" w:hAnsi="Times New Roman"/>
          <w:i/>
          <w:iCs/>
          <w:sz w:val="24"/>
          <w:szCs w:val="24"/>
        </w:rPr>
        <w:t xml:space="preserve">Cite the enabling notification correctly as Notification 16/2021-Central Tax dated 01.06.2021 (NOT 09/2021), and Rule 88B (Notification 14/2022-CT). Insert the actual filing dates and recompute interest.</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interest demanded is excessive on two counts. First, it has been computed from the generic twentieth of the next month, ignoring the CBIC notifications that extended the due dates for filing GSTR-3B in the initial period; interest can run only from the extended due date to the actual date of filing. Second, interest is chargeable only on the portion of tax discharged in cash, and not on the portion set off from input tax credit.</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Interest runs only from the extended due dates. </w:t>
      </w:r>
      <w:r>
        <w:rPr>
          <w:rFonts w:ascii="Times New Roman" w:cs="Times New Roman" w:eastAsia="Times New Roman" w:hAnsi="Times New Roman"/>
          <w:sz w:val="24"/>
          <w:szCs w:val="24"/>
        </w:rPr>
        <w:t xml:space="preserve">The due dates for filing GSTR-3B in the initial period were extended by notification. In particular, the due date for July 2017 was extended to 25/28.08.2017 and for December 2017 to 22.01.2018. Interest under Section 50 can run only from the extended due date to the actual date of filing. The computation in the notice, proceeding from the twentieth of the next month, overstates the period of delay. A corrected, month-wise computation is annexed.</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Interest only on the net cash component. </w:t>
      </w:r>
      <w:r>
        <w:rPr>
          <w:rFonts w:ascii="Times New Roman" w:cs="Times New Roman" w:eastAsia="Times New Roman" w:hAnsi="Times New Roman"/>
          <w:sz w:val="24"/>
          <w:szCs w:val="24"/>
        </w:rPr>
        <w:t xml:space="preserve">By the proviso to Section 50(1), inserted with retrospective effect from 01.07.2017 by the Finance Act, 2021 (brought into force by Notification 16/2021-Central Tax dated 01.06.2021) and given effect by Rule 88B (Notification 14/2022-Central Tax), interest on belated filing is chargeable only on that portion of the tax which is paid by debiting the electronic cash ledger. Interest on the portion discharged through the electronic credit ledger is not payable.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Recomputation. </w:t>
      </w:r>
      <w:r>
        <w:rPr>
          <w:rFonts w:ascii="Times New Roman" w:cs="Times New Roman" w:eastAsia="Times New Roman" w:hAnsi="Times New Roman"/>
          <w:sz w:val="24"/>
          <w:szCs w:val="24"/>
        </w:rPr>
        <w:t xml:space="preserve">On a correct computation — from the extended due dates and on the net cash component alone — the interest payable is Rs. ____, as against Rs. ____ demanded. The noticee has paid / undertakes to pay the correctly computed amount.</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interest demand be recomputed from the extended due dates and on the net cash component alone, and confirmed only to that extent; and that an opportunity of personal hearing be granted.</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2026-06-14T14:46:47.439Z</dcterms:created>
  <dcterms:modified xsi:type="dcterms:W3CDTF">2026-06-14T14:46:47.439Z</dcterms:modified>
</cp:coreProperties>
</file>

<file path=docProps/custom.xml><?xml version="1.0" encoding="utf-8"?>
<Properties xmlns="http://schemas.openxmlformats.org/officeDocument/2006/custom-properties" xmlns:vt="http://schemas.openxmlformats.org/officeDocument/2006/docPropsVTypes"/>
</file>