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Proper Officer,</w:t>
      </w:r>
    </w:p>
    <w:p>
      <w:pPr>
        <w:spacing w:after="160"/>
        <w:jc w:val="left"/>
      </w:pPr>
      <w:r>
        <w:rPr>
          <w:rFonts w:ascii="Times New Roman" w:cs="Times New Roman" w:eastAsia="Times New Roman" w:hAnsi="Times New Roman"/>
          <w:sz w:val="24"/>
          <w:szCs w:val="24"/>
        </w:rPr>
        <w:t xml:space="preserve">Goods and Services Tax Department,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under Section 73/74 in Form DRC-01, which is a bare format notice without the provision invoked, the allegation, the rule or supporting documents.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(1) a Summary of SCN in Form DRC-01 under Rule 142(1) cannot substitute a proper show cause notice that states the contravention, the provision and the basis; (2) a format notice without striking irrelevant portions and without specific allegations denies a meaningful opportunity to defend; (3) the summary/order must be authenticated and signed by the proper officer under Rule 26(3).</w:t>
      </w:r>
    </w:p>
    <w:p>
      <w:pPr>
        <w:spacing w:after="80"/>
        <w:jc w:val="both"/>
      </w:pPr>
      <w:r>
        <w:rPr>
          <w:rFonts w:ascii="Times New Roman" w:cs="Times New Roman" w:eastAsia="Times New Roman" w:hAnsi="Times New Roman"/>
          <w:i/>
          <w:iCs/>
          <w:sz w:val="24"/>
          <w:szCs w:val="24"/>
        </w:rPr>
        <w:t xml:space="preserve">Authority: NKAS Services (Jharkhand HC, 06.10.2021, paras 14, 17) and the Gauhati HC line in Construction Catalysers (26.09.2024) followed in later Gauhati cases. Anticipate an alternative-remedy objection outside Gauhati/Jharkhand.</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is a bare format, reproducing the language of Sections 73/74 without stating which provision is invoked, what the contravention is, the rule relied upon, or any supporting material. Such a notice is not a proper show cause notice and cannot found an adjudication. A summary of show cause notice in Form DRC-01 cannot substitute the proper notice the law requires.</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summary in DRC-01 is not a proper show cause notice. </w:t>
      </w:r>
      <w:r>
        <w:rPr>
          <w:rFonts w:ascii="Times New Roman" w:cs="Times New Roman" w:eastAsia="Times New Roman" w:hAnsi="Times New Roman"/>
          <w:sz w:val="24"/>
          <w:szCs w:val="24"/>
        </w:rPr>
        <w:t xml:space="preserve">As held by the Jharkhand High Court in M/s NKAS Services Pvt. Ltd. v. State of Jharkhand (06.10.2021), a summary of show cause notice issued in Form DRC-01 under Rule 142(1) cannot substitute the requirement of a proper show cause notice; a notice issued in a format without even striking out the irrelevant portions, and without stating the contraventions, is invalid (paras 14 and 17).</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notice fails to disclose the case to be met. </w:t>
      </w:r>
      <w:r>
        <w:rPr>
          <w:rFonts w:ascii="Times New Roman" w:cs="Times New Roman" w:eastAsia="Times New Roman" w:hAnsi="Times New Roman"/>
          <w:sz w:val="24"/>
          <w:szCs w:val="24"/>
        </w:rPr>
        <w:t xml:space="preserve">A show cause notice must state the specific allegation, the provision invoked and the basis, so that the noticee can meet the case. The impugned notice discloses none of these and thereby denies the noticee a meaningful opportunity to defend, vitiating the proceedings.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Want of authentication. </w:t>
      </w:r>
      <w:r>
        <w:rPr>
          <w:rFonts w:ascii="Times New Roman" w:cs="Times New Roman" w:eastAsia="Times New Roman" w:hAnsi="Times New Roman"/>
          <w:sz w:val="24"/>
          <w:szCs w:val="24"/>
        </w:rPr>
        <w:t xml:space="preserve">The proper officer must issue and authenticate the notice/summary and any order by signature (including digital signature) as required by Rule 26(3). An unauthenticated format notice has no legal efficacy. Reliance is placed on the Gauhati High Court in Construction Catalysers Pvt. Ltd. v. State of Assam (WP(C) 3912/2024, 26.09.2024, operative directions at paragraph 29).</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Show Cause Notice be dropped as not being a proper notice under Section 73/74; and that no adjudication be founded upon it.</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2026-06-14T14:46:47.540Z</dcterms:created>
  <dcterms:modified xsi:type="dcterms:W3CDTF">2026-06-14T14:46:47.540Z</dcterms:modified>
</cp:coreProperties>
</file>

<file path=docProps/custom.xml><?xml version="1.0" encoding="utf-8"?>
<Properties xmlns="http://schemas.openxmlformats.org/officeDocument/2006/custom-properties" xmlns:vt="http://schemas.openxmlformats.org/officeDocument/2006/docPropsVTypes"/>
</file>