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Proper Officer,</w:t>
      </w:r>
    </w:p>
    <w:p>
      <w:pPr>
        <w:spacing w:after="160"/>
        <w:jc w:val="left"/>
      </w:pPr>
      <w:r>
        <w:rPr>
          <w:rFonts w:ascii="Times New Roman" w:cs="Times New Roman" w:eastAsia="Times New Roman" w:hAnsi="Times New Roman"/>
          <w:sz w:val="24"/>
          <w:szCs w:val="24"/>
        </w:rPr>
        <w:t xml:space="preserve">Goods and Services Tax Department, [Ward],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20"/>
        <w:jc w:val="left"/>
      </w:pPr>
      <w:r>
        <w:rPr>
          <w:rFonts w:ascii="Times New Roman" w:cs="Times New Roman" w:eastAsia="Times New Roman" w:hAnsi="Times New Roman"/>
          <w:sz w:val="24"/>
          <w:szCs w:val="24"/>
        </w:rPr>
        <w:t xml:space="preserve">Financial Year: __________</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74 alleging wrong availment of input tax credit “by reason of fraud, wilful misstatement or suppression”, without specifying which ingredient applies or any particulars.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to invoke Section 74 (extended limitation and mandatory equal penalty) the notice must contain a specific, particularised allegation of fraud / wilful misstatement / suppression with intent to evade tax. An omnibus invocation reproducing the statute, without identifying which ingredient and the facts constituting it, is bad in law and shows non-application of mind.</w:t>
      </w:r>
    </w:p>
    <w:p>
      <w:pPr>
        <w:spacing w:after="80"/>
        <w:jc w:val="both"/>
      </w:pPr>
      <w:r>
        <w:rPr>
          <w:rFonts w:ascii="Times New Roman" w:cs="Times New Roman" w:eastAsia="Times New Roman" w:hAnsi="Times New Roman"/>
          <w:i/>
          <w:iCs/>
          <w:sz w:val="24"/>
          <w:szCs w:val="24"/>
        </w:rPr>
        <w:t xml:space="preserve">Authority: Pushpam Pharmaceuticals and Uniworth Textiles (SC — suppression must be deliberate, mere non-payment is not suppression); NKAS Services (Jharkhand); Allahabad HC in HCL Infotech (27.09.2024). The Supreme Court in GR Infra Projects (21.11.2025) stayed proceedings on a Section 74 SCN “bereft of material particulars” — this is an interim order; re-check before relying on it.</w:t>
      </w:r>
    </w:p>
    <w:p>
      <w:pPr>
        <w:spacing w:after="80"/>
        <w:jc w:val="both"/>
      </w:pPr>
      <w:r>
        <w:rPr>
          <w:rFonts w:ascii="Times New Roman" w:cs="Times New Roman" w:eastAsia="Times New Roman" w:hAnsi="Times New Roman"/>
          <w:i/>
          <w:iCs/>
          <w:sz w:val="24"/>
          <w:szCs w:val="24"/>
        </w:rPr>
        <w:t xml:space="preserve">Confirm the period: for FY 2024-25 onward Section 74A governs; for earlier periods Sections 73/74 apply and this requirement is fully engaged. If the correct provision was Section 73, the wrong invocation of Section 74 also goes to limitation.</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invokes Section 74 — reserved for cases of fraud, wilful misstatement or suppression of facts to evade tax — without alleging which of these ingredients applies, or stating any facts constituting it. A bare, omnibus invocation of Section 74 is impermissible: it deprives the noticee of notice of the case to be met and reflects a non-application of mind to the jurisdictional pre-condition for the extended period and mandatory penalty.</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74 requires a specific, particularised allegation. </w:t>
      </w:r>
      <w:r>
        <w:rPr>
          <w:rFonts w:ascii="Times New Roman" w:cs="Times New Roman" w:eastAsia="Times New Roman" w:hAnsi="Times New Roman"/>
          <w:sz w:val="24"/>
          <w:szCs w:val="24"/>
        </w:rPr>
        <w:t xml:space="preserve">Section 74 can be invoked only where tax is unpaid or input tax credit is wrongly availed “by reason of fraud, or any wilful misstatement or suppression of facts to evade tax”. The notice must identify which ingredient is alleged and the facts constituting it. The impugned notice does neither.</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Suppression must be deliberate and with intent to evade. </w:t>
      </w:r>
      <w:r>
        <w:rPr>
          <w:rFonts w:ascii="Times New Roman" w:cs="Times New Roman" w:eastAsia="Times New Roman" w:hAnsi="Times New Roman"/>
          <w:sz w:val="24"/>
          <w:szCs w:val="24"/>
        </w:rPr>
        <w:t xml:space="preserve">It is settled that “suppression” means a deliberate withholding of information with intent to evade, and that mere non-payment or an omission is not suppression. Reliance is placed on Pushpam Pharmaceuticals Co. v. Collector of Central Excise and Uniworth Textiles Ltd. v. Commissioner of Central Excise (Supreme Court), and, in the GST context, on M/s NKAS Services Pvt. Ltd. (Jharkhand High Court) and HCL Infotech Ltd. (Allahabad High Court, Writ Tax No. 1396 of 2024, 27.09.2024, Neutral Citation 2024:AHC:158274-DB) quashing Section 74 notices that disclosed no such reasons.</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Wrong invocation also affects limitation. </w:t>
      </w:r>
      <w:r>
        <w:rPr>
          <w:rFonts w:ascii="Times New Roman" w:cs="Times New Roman" w:eastAsia="Times New Roman" w:hAnsi="Times New Roman"/>
          <w:sz w:val="24"/>
          <w:szCs w:val="24"/>
        </w:rPr>
        <w:t xml:space="preserve">By invoking Section 74 without basis, the notice seeks to avail the extended period of limitation and a mandatory equal penalty to which the revenue is not entitled. If at all, only Section 73 could apply, and the notice must be tested against the limitation under that provision.</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under Section 74 be dropped for want of any particularised allegation of fraud, wilful misstatement or suppression;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2026-06-14T14:46:47.629Z</dcterms:created>
  <dcterms:modified xsi:type="dcterms:W3CDTF">2026-06-14T14:46:47.629Z</dcterms:modified>
</cp:coreProperties>
</file>

<file path=docProps/custom.xml><?xml version="1.0" encoding="utf-8"?>
<Properties xmlns="http://schemas.openxmlformats.org/officeDocument/2006/custom-properties" xmlns:vt="http://schemas.openxmlformats.org/officeDocument/2006/docPropsVTypes"/>
</file>