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Office of the Joint Commissioner of State Tax,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[Ward], [State]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GSTIN: ____________________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Trade Name: M/s Notice Desk Private Limited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Reference (DRC-01 / ASMT-10) No.: ____________  dated __________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Reply to the communication / Show Cause Notice demanding reversal of input tax credit in respect of supplies of M/s ________ (alleged non-existent / bogus) reflected in GSTR-2A/2B, where the credit was never availed by the noticee in GSTR-3B.</w:t>
      </w:r>
    </w:p>
    <w:p>
      <w:pPr>
        <w:pBdr>
          <w:top w:val="single" w:color="888888" w:sz="4" w:space="4"/>
          <w:bottom w:val="single" w:color="888888" w:sz="4" w:space="4"/>
        </w:pBd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(remove before filing). 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Core lever: Sections 73/74 are attracted only where input tax credit has been “wrongly availed or utilised”. The impugned credit, though appearing in GSTR-2A/2B, was never availed in GSTR-3B — and the noticee denies the purchase. No availment, no demand.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Complete answer: annex the GSTR-2A/2B vs GSTR-3B reconciliation and the electronic credit ledger showing nil availment of the impugned credit. There is no specific CBIC circular on this scenario; the point stands on the statutory text.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credit said to require reversal was never taken by the noticee. Although the supplies of M/s ________ are reflected in the noticee’s GSTR-2A/2B, the corresponding input tax credit was not availed in GSTR-3B; nor did the noticee make any purchase from, or any payment to, the said supplier. As no credit was availed, there is nothing to reverse and no demand can lie.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Submissions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 purchase, no availment.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noticee made no purchase from M/s ________ during the period and made no payment to it. The entries in GSTR-2A/2B are auto-populated from the supplier’s filings and do not represent any transaction of the noticee.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Sections 73/74 require wrongful availment or utilisation.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Sections 73(1) and 74(1) are attracted only where tax is unpaid or short-paid or where input tax credit has been “wrongly availed or utilised”. Credit merely reflected in GSTR-2A/2B is not credit “availed”; availment occurs only on its being taken in GSTR-3B and credited to the electronic credit ledger. There being no availment, the foundation for any demand is absent.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reconciliation is a complete answer.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annexed reconciliation of GSTR-2A/2B with GSTR-3B, and the electronic credit ledger, establish that the impugned credit was not availed by the noticee. The demand is therefore misconceived.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respectfully prayed that the proceedings be dropped, no input tax credit having been availed by the noticee in respect of the impugned supplies; and that ASMT-12 be issued / an opportunity of personal hearing be granted, as the case may be.</w:t>
      </w:r>
    </w:p>
    <w:p>
      <w:pPr>
        <w:spacing w:after="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 M/s Notice Desk Private Limited</w:t>
      </w:r>
    </w:p>
    <w:p>
      <w:pPr>
        <w:spacing w:after="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Authorised Signatory / Director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Nasik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2026-06-14T14:46:47.658Z</dcterms:created>
  <dcterms:modified xsi:type="dcterms:W3CDTF">2026-06-14T14:46:47.658Z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