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b/>
          <w:bCs/>
          <w:sz w:val="24"/>
          <w:szCs w:val="24"/>
        </w:rPr>
        <w:t xml:space="preserve">(Appeal to the Appellate Authority under Section 107 of the CGST Act, 2017) [See Rule 108(1)]</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Signatory tension (carry-forward flag): the source verification is in a proprietorship form (“Prop. of M/s”, “Proprietor”). House style executes as M/s Notice Desk Private Limited by Authorised Signatory/Director. This APL-01 is cast in the company form; if the appellant is in fact a proprietorship, restore the sole-proprietor verification and signatory before filing and confirm the verification clause matches the constitution of business (Rules 26 and 108).</w:t>
      </w:r>
    </w:p>
    <w:p>
      <w:pPr>
        <w:spacing w:after="80"/>
        <w:jc w:val="both"/>
      </w:pPr>
      <w:r>
        <w:rPr>
          <w:rFonts w:ascii="Times New Roman" w:cs="Times New Roman" w:eastAsia="Times New Roman" w:hAnsi="Times New Roman"/>
          <w:i/>
          <w:iCs/>
          <w:sz w:val="24"/>
          <w:szCs w:val="24"/>
        </w:rPr>
        <w:t xml:space="preserve">Core merits: the order in DRC-07 confirmed the demand on a ground NOT in the SCN — the SCN alleged “ITC availed without reflecting in GSTR-2A” (FY 2017-18); the order confirmed on “supplier has not paid tax”. Section 75(7) bars confirming on grounds other than those in the notice and bars exceeding the amount in the notice.</w:t>
      </w:r>
    </w:p>
    <w:p>
      <w:pPr>
        <w:spacing w:after="80"/>
        <w:jc w:val="both"/>
      </w:pPr>
      <w:r>
        <w:rPr>
          <w:rFonts w:ascii="Times New Roman" w:cs="Times New Roman" w:eastAsia="Times New Roman" w:hAnsi="Times New Roman"/>
          <w:i/>
          <w:iCs/>
          <w:sz w:val="24"/>
          <w:szCs w:val="24"/>
        </w:rPr>
        <w:t xml:space="preserve">Merits backstop: for FY 2017-18 there was no requirement that ITC be reflected in GSTR-2A (Rule 36(4) only from 09.10.2019; Section 16(2)(aa) only from 01.01.2022); Circular 183/15/2022-GST provides the verification mechanism.</w:t>
      </w:r>
    </w:p>
    <w:p>
      <w:pPr>
        <w:spacing w:after="80"/>
        <w:jc w:val="both"/>
      </w:pPr>
      <w:r>
        <w:rPr>
          <w:rFonts w:ascii="Times New Roman" w:cs="Times New Roman" w:eastAsia="Times New Roman" w:hAnsi="Times New Roman"/>
          <w:i/>
          <w:iCs/>
          <w:sz w:val="24"/>
          <w:szCs w:val="24"/>
        </w:rPr>
        <w:t xml:space="preserve">Pre-deposit (compute-by-date): 10% of the disputed tax through the Electronic Cash Ledger (cap Rs. 20 crore CGST). Compute and annex the challan; the source’s ‘100% pre-deposit’ line is to be corrected to 10%.</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1. GSTIN</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2. Legal name of the appellant</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M/s Notice Desk Private Limited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3. Address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4. Order appealed against – No. and date</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Order-in-Original / Summary in Form GST DRC-07 No. ____ dated 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5. Designation of the officer who passed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Proper Officer, [Ward]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6. Date of communication of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7. Whether appeal within limitation (3 months)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Yes – filed within three months of communication</w:t>
            </w:r>
          </w:p>
        </w:tc>
      </w:tr>
    </w:tbl>
    <w:p>
      <w:pPr>
        <w:spacing w:after="160" w:line="276"/>
        <w:jc w:val="both"/>
      </w:pPr>
      <w:r>
        <w:rPr>
          <w:rFonts w:ascii="Times New Roman" w:cs="Times New Roman" w:eastAsia="Times New Roman" w:hAnsi="Times New Roman"/>
          <w:b/>
          <w:bCs/>
          <w:sz w:val="24"/>
          <w:szCs w:val="24"/>
        </w:rPr>
        <w:t xml:space="preserve">14. Amount of demand created, admitted and disputed: </w:t>
      </w:r>
      <w:r>
        <w:rPr>
          <w:rFonts w:ascii="Times New Roman" w:cs="Times New Roman" w:eastAsia="Times New Roman" w:hAnsi="Times New Roman"/>
          <w:sz w:val="24"/>
          <w:szCs w:val="24"/>
        </w:rPr>
        <w:t xml:space="preserve">created Rs. ____; admitted NIL; disputed Rs. ____.</w:t>
      </w:r>
    </w:p>
    <w:p>
      <w:pPr>
        <w:spacing w:after="160" w:line="276"/>
        <w:jc w:val="both"/>
      </w:pPr>
      <w:r>
        <w:rPr>
          <w:rFonts w:ascii="Times New Roman" w:cs="Times New Roman" w:eastAsia="Times New Roman" w:hAnsi="Times New Roman"/>
          <w:b/>
          <w:bCs/>
          <w:sz w:val="24"/>
          <w:szCs w:val="24"/>
        </w:rPr>
        <w:t xml:space="preserve">15. Details of payment of admitted amount and pre-deposit: </w:t>
      </w:r>
      <w:r>
        <w:rPr>
          <w:rFonts w:ascii="Times New Roman" w:cs="Times New Roman" w:eastAsia="Times New Roman" w:hAnsi="Times New Roman"/>
          <w:sz w:val="24"/>
          <w:szCs w:val="24"/>
        </w:rPr>
        <w:t xml:space="preserve">admitted amount NIL; pre-deposit of 10% of the disputed tax of Rs. ____ paid through the Electronic Cash Ledger vide debit entry No. ____ dated ________.</w:t>
      </w:r>
    </w:p>
    <w:p>
      <w:pPr>
        <w:spacing w:after="120" w:before="160"/>
        <w:jc w:val="left"/>
      </w:pPr>
      <w:r>
        <w:rPr>
          <w:rFonts w:ascii="Times New Roman" w:cs="Times New Roman" w:eastAsia="Times New Roman" w:hAnsi="Times New Roman"/>
          <w:b/>
          <w:bCs/>
          <w:sz w:val="24"/>
          <w:szCs w:val="24"/>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was served a Show Cause Notice in Form GST DRC-01 (Ref. No. ____ dated ________) under Section 73/74, alleging “availment of input tax credit without reflecting in GSTR-2A” for FY 2017-18, proposing tax of Rs. ____ and penalty of Rs. ____.</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replied on ________, submitting inter alia that there was no requirement in the Act that input tax credit for FY 2017-18 be reflected in GSTR-2A.</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the impugned order in Form GST DRC-07 dated ________, the Proper Officer confirmed the demand on an entirely different ground — that “the supplier has not made payment of tax” — a ground never put to the appellant in the Show Cause Notice. Hence this appeal.</w:t>
      </w:r>
    </w:p>
    <w:p>
      <w:pPr>
        <w:spacing w:after="120" w:before="160"/>
        <w:jc w:val="left"/>
      </w:pPr>
      <w:r>
        <w:rPr>
          <w:rFonts w:ascii="Times New Roman" w:cs="Times New Roman" w:eastAsia="Times New Roman" w:hAnsi="Times New Roman"/>
          <w:b/>
          <w:bCs/>
          <w:sz w:val="24"/>
          <w:szCs w:val="24"/>
        </w:rPr>
        <w:t xml:space="preserve">ANNEXURE B — Grounds of Appeal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order travels beyond the Show Cause Notice. Section 75(7) provides that the amount demanded in the order shall not be in excess of the amount specified in the notice, and that no demand shall be confirmed on grounds other than the grounds specified in the notice. The order confirms the demand on “supplier has not paid tax”, a ground absent from the notice, and is therefore without jurisdiction and void.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Breach of natural justice. The appellant was never called upon to meet the ground on which the demand was confirmed, and was thereby denied any opportunity to rebut it.</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No requirement of GSTR-2A reflection for FY 2017-18. For FY 2017-18, neither Rule 36(4) (effective 09.10.2019) nor Section 16(2)(aa) (effective 01.01.2022) was in force; input tax credit could not be denied for non-reflection in GSTR-2A. The verification mechanism in Circular 183/15/2022-GST dated 27.12.2022, where applicable, was not followed.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On merits, the appellant is a bona fide recipient holding valid invoices and having received the supplies and paid the suppliers including tax; credit cannot be reversed at the appellant’s end for any default of the supplier without first proceeding against the supplier.</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4"/>
        </w:numPr>
        <w:spacing w:after="160" w:line="276"/>
        <w:jc w:val="both"/>
      </w:pPr>
      <w:r>
        <w:rPr>
          <w:rFonts w:ascii="Times New Roman" w:cs="Times New Roman" w:eastAsia="Times New Roman" w:hAnsi="Times New Roman"/>
          <w:sz w:val="24"/>
          <w:szCs w:val="24"/>
        </w:rPr>
        <w:t xml:space="preserve">It is respectfully prayed that the impugned order in Form DRC-07 be set aside as having travelled beyond the Show Cause Notice in breach of Section 75(7); and that the demand, interest and penalty be quashed.</w:t>
      </w:r>
    </w:p>
    <w:p>
      <w:pPr>
        <w:spacing w:after="160" w:line="276"/>
        <w:jc w:val="both"/>
      </w:pPr>
      <w:r>
        <w:rPr>
          <w:rFonts w:ascii="Times New Roman" w:cs="Times New Roman" w:eastAsia="Times New Roman" w:hAnsi="Times New Roman"/>
          <w:i/>
          <w:iCs/>
          <w:sz w:val="24"/>
          <w:szCs w:val="24"/>
        </w:rPr>
        <w:t xml:space="preserve">The appellant craves leave to add to, alter or amend any of the grounds of appeal at or before the hearing.</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GSTAT-stage note: if relief is not obtained at the first-appeal stage, the next remedy lies before the GST Appellate Tribunal under Section 112. Re-check the notified limitation and pre-deposit applicable at the Tribunal stage before any further appeal.</w:t>
      </w:r>
    </w:p>
    <w:p>
      <w:pPr>
        <w:spacing w:after="80"/>
      </w:pPr>
      <w:r>
        <w:rPr>
          <w:rFonts w:ascii="Times New Roman" w:cs="Times New Roman" w:eastAsia="Times New Roman" w:hAnsi="Times New Roman"/>
          <w:sz w:val="24"/>
          <w:szCs w:val="24"/>
        </w:rPr>
        <w:t xml:space="preserve"/>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2026-06-14T14:46:47.727Z</dcterms:created>
  <dcterms:modified xsi:type="dcterms:W3CDTF">2026-06-14T14:46:47.727Z</dcterms:modified>
</cp:coreProperties>
</file>

<file path=docProps/custom.xml><?xml version="1.0" encoding="utf-8"?>
<Properties xmlns="http://schemas.openxmlformats.org/officeDocument/2006/custom-properties" xmlns:vt="http://schemas.openxmlformats.org/officeDocument/2006/docPropsVTypes"/>
</file>