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FORM GST APL-01</w:t>
      </w:r>
    </w:p>
    <w:p>
      <w:pPr>
        <w:spacing w:after="120"/>
        <w:jc w:val="center"/>
      </w:pPr>
      <w:r>
        <w:rPr>
          <w:rFonts w:ascii="Times New Roman" w:cs="Times New Roman" w:eastAsia="Times New Roman" w:hAnsi="Times New Roman"/>
          <w:b/>
          <w:bCs/>
          <w:sz w:val="24"/>
          <w:szCs w:val="24"/>
        </w:rPr>
        <w:t xml:space="preserve">(Appeal to the Appellate Authority under Section 107 of the CGST/RGST Act, 2017) [See Rule 108(1)]</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Lead on NATURAL JUSTICE, not service. Portal-only service is valid under Section 169 (Poomika Infra Developers, Madras HC; Bombay HC line) — do not stake the appeal on defective service. The winning grounds are: (a) cancellation without any personal hearing; (b) revocation rejected by a non-speaking order; both violate natural justice and Section 75(6)/(4).</w:t>
      </w:r>
    </w:p>
    <w:p>
      <w:pPr>
        <w:spacing w:after="80"/>
        <w:jc w:val="both"/>
      </w:pPr>
      <w:r>
        <w:rPr>
          <w:rFonts w:ascii="Times New Roman" w:cs="Times New Roman" w:eastAsia="Times New Roman" w:hAnsi="Times New Roman"/>
          <w:i/>
          <w:iCs/>
          <w:sz w:val="24"/>
          <w:szCs w:val="24"/>
        </w:rPr>
        <w:t xml:space="preserve">Amnesty note: Notification 03/2023-CT (31.03.2023) revocation amnesty window has CLOSED — do not plead it as a live remedy; rely on the merits appeal. Section 16(6) protects ITC for the cancellation-to-revocation gap if returns filed within 30 days of revocation.</w:t>
      </w:r>
    </w:p>
    <w:p>
      <w:pPr>
        <w:spacing w:after="80"/>
        <w:jc w:val="both"/>
      </w:pPr>
      <w:r>
        <w:rPr>
          <w:rFonts w:ascii="Times New Roman" w:cs="Times New Roman" w:eastAsia="Times New Roman" w:hAnsi="Times New Roman"/>
          <w:i/>
          <w:iCs/>
          <w:sz w:val="24"/>
          <w:szCs w:val="24"/>
        </w:rPr>
        <w:t xml:space="preserve">Pre-deposit: a registration-revocation appeal involves no tax demand — admitted amount and pre-deposit NIL; confirm there is no consequential demand. Compute-by-date if any demand exists: 10% of disputed tax via Electronic Cash Ledger.</w:t>
      </w:r>
    </w:p>
    <w:p>
      <w:pPr>
        <w:spacing w:after="80"/>
        <w:jc w:val="both"/>
      </w:pPr>
      <w:r>
        <w:rPr>
          <w:rFonts w:ascii="Times New Roman" w:cs="Times New Roman" w:eastAsia="Times New Roman" w:hAnsi="Times New Roman"/>
          <w:i/>
          <w:iCs/>
          <w:sz w:val="24"/>
          <w:szCs w:val="24"/>
        </w:rPr>
        <w:t xml:space="preserve">Placeholders: REG-17 ref/date, cancellation order date, REG-21 filing date, REG-05 rejection order ref/date, appellate authority designation.</w:t>
      </w:r>
    </w:p>
    <w:p>
      <w:pPr>
        <w:spacing w:after="8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1. GSTIN (cancelled)</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2. Legal name of the appellant</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M/s Notice Desk Private Limited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3. Address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____________________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4. Order appealed against – No. and date</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Order rejecting revocation in Form GST REG-05 No. ____ dated 01.05.2022</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5. Designation of the officer who passed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Proper Officer of State Tax, [Ward]</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6. Date of communication of the order</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________</w:t>
            </w:r>
          </w:p>
        </w:tc>
      </w:tr>
      <w:tr>
        <w:tc>
          <w:tcPr>
            <w:tcW w:type="dxa" w:w="3200"/>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b/>
                <w:bCs/>
                <w:sz w:val="24"/>
                <w:szCs w:val="24"/>
              </w:rPr>
              <w:t xml:space="preserve">7. Whether appeal within limitation (3 months)</w:t>
            </w:r>
          </w:p>
        </w:tc>
        <w:tc>
          <w:tcPr>
            <w:tcW w:type="dxa" w:w="5826"/>
            <w:tcBorders>
              <w:top w:val="single" w:color="000000" w:sz="1"/>
              <w:left w:val="single" w:color="000000" w:sz="1"/>
              <w:bottom w:val="single" w:color="000000" w:sz="1"/>
              <w:right w:val="single" w:color="000000" w:sz="1"/>
            </w:tcBorders>
            <w:tcMar>
              <w:top w:type="dxa" w:w="60"/>
              <w:left w:type="dxa" w:w="100"/>
              <w:bottom w:type="dxa" w:w="60"/>
              <w:right w:type="dxa" w:w="100"/>
            </w:tcMar>
            <w:vAlign w:val="top"/>
          </w:tcPr>
          <w:p>
            <w:pPr>
              <w:spacing w:after="40"/>
              <w:jc w:val="left"/>
            </w:pPr>
            <w:r>
              <w:rPr>
                <w:rFonts w:ascii="Times New Roman" w:cs="Times New Roman" w:eastAsia="Times New Roman" w:hAnsi="Times New Roman"/>
                <w:sz w:val="24"/>
                <w:szCs w:val="24"/>
              </w:rPr>
              <w:t xml:space="preserve">Yes – filed within three months of communication</w:t>
            </w:r>
          </w:p>
        </w:tc>
      </w:tr>
    </w:tbl>
    <w:p>
      <w:pPr>
        <w:spacing w:after="160" w:line="276"/>
        <w:jc w:val="both"/>
      </w:pPr>
      <w:r>
        <w:rPr>
          <w:rFonts w:ascii="Times New Roman" w:cs="Times New Roman" w:eastAsia="Times New Roman" w:hAnsi="Times New Roman"/>
          <w:b/>
          <w:bCs/>
          <w:sz w:val="24"/>
          <w:szCs w:val="24"/>
        </w:rPr>
        <w:t xml:space="preserve">14. Amount of demand created, admitted and disputed: </w:t>
      </w:r>
      <w:r>
        <w:rPr>
          <w:rFonts w:ascii="Times New Roman" w:cs="Times New Roman" w:eastAsia="Times New Roman" w:hAnsi="Times New Roman"/>
          <w:sz w:val="24"/>
          <w:szCs w:val="24"/>
        </w:rPr>
        <w:t xml:space="preserve">the appeal concerns rejection of revocation of registration; no tax demand arises.</w:t>
      </w:r>
    </w:p>
    <w:p>
      <w:pPr>
        <w:spacing w:after="160" w:line="276"/>
        <w:jc w:val="both"/>
      </w:pPr>
      <w:r>
        <w:rPr>
          <w:rFonts w:ascii="Times New Roman" w:cs="Times New Roman" w:eastAsia="Times New Roman" w:hAnsi="Times New Roman"/>
          <w:b/>
          <w:bCs/>
          <w:sz w:val="24"/>
          <w:szCs w:val="24"/>
        </w:rPr>
        <w:t xml:space="preserve">15. Details of payment of admitted amount and pre-deposit: </w:t>
      </w:r>
      <w:r>
        <w:rPr>
          <w:rFonts w:ascii="Times New Roman" w:cs="Times New Roman" w:eastAsia="Times New Roman" w:hAnsi="Times New Roman"/>
          <w:sz w:val="24"/>
          <w:szCs w:val="24"/>
        </w:rPr>
        <w:t xml:space="preserve">NIL (no tax demand; no pre-deposit arises). To be confirmed against the record.</w:t>
      </w:r>
    </w:p>
    <w:p>
      <w:pPr>
        <w:spacing w:after="120" w:before="160"/>
        <w:jc w:val="left"/>
      </w:pPr>
      <w:r>
        <w:rPr>
          <w:rFonts w:ascii="Times New Roman" w:cs="Times New Roman" w:eastAsia="Times New Roman" w:hAnsi="Times New Roman"/>
          <w:b/>
          <w:bCs/>
          <w:sz w:val="24"/>
          <w:szCs w:val="24"/>
        </w:rPr>
        <w:t xml:space="preserve">ANNEXURE A — Statement of Facts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appellant held registration under the Act. A Show Cause Notice in Form GST REG-17 (Ref. No. ____ dated ________) was issued under Rule 22 proposing cancellation on the ground that returns had not been furnished for a continuous period, calling for a reply within seven working days.</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was made available on the common portal/by email only. The appellant did not access the portal during the reply window (01.04.2022 to 07.04.2022). Without any personal hearing, the Proper Officer cancelled the registration on 08.04.2022.</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On learning of the cancellation on 15.04.2022, the appellant furnished all pending returns with the applicable tax, interest and late fee, and applied for revocation in Form GST REG-21.</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By the impugned order dated 01.05.2022, the Proper Officer rejected the revocation application without assigning any reason — a non-speaking order. Hence this appeal.</w:t>
      </w:r>
    </w:p>
    <w:p>
      <w:pPr>
        <w:spacing w:after="120" w:before="160"/>
        <w:jc w:val="left"/>
      </w:pPr>
      <w:r>
        <w:rPr>
          <w:rFonts w:ascii="Times New Roman" w:cs="Times New Roman" w:eastAsia="Times New Roman" w:hAnsi="Times New Roman"/>
          <w:b/>
          <w:bCs/>
          <w:sz w:val="24"/>
          <w:szCs w:val="24"/>
        </w:rPr>
        <w:t xml:space="preserve">ANNEXURE B — Grounds of Appeal</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cancellation was made in breach of natural justice. No opportunity of personal hearing was afforded before cancelling the registration, contrary to Section 75(4) and the principles of natural justice; an order visiting such serious civil consequences cannot be passed without hearing.</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rejection of revocation is a non-speaking order. The impugned order records no reason for rejecting the revocation application. A quasi-judicial order must be a speaking order; reasons are the heartbeat of every conclusion. The order is therefore unsustainable and liable to be set aside.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ground of cancellation stood cured. The cancellation was for non-filing alone; the appellant has since filed all pending returns and paid the dues. The very basis of cancellation no longer subsists and revocation ought to follow.</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Continuity of registration serves the revenue. Restoration enables the appellant to discharge ongoing liabilities and pass on credit; cancellation only drives the business outside the tax net. Input tax credit for the period from cancellation to revocation is, in any event, preserved by Section 16(6) on furnishing returns within thirty days of the revocation order.</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4"/>
        </w:numPr>
        <w:spacing w:after="160" w:line="276"/>
        <w:jc w:val="both"/>
      </w:pPr>
      <w:r>
        <w:rPr>
          <w:rFonts w:ascii="Times New Roman" w:cs="Times New Roman" w:eastAsia="Times New Roman" w:hAnsi="Times New Roman"/>
          <w:sz w:val="24"/>
          <w:szCs w:val="24"/>
        </w:rPr>
        <w:t xml:space="preserve">It is respectfully prayed that the impugned order rejecting revocation be set aside, the order of cancellation be quashed, and the registration be restored; and, in the alternative, that the matter be remanded for a reasoned order after affording a personal hearing.</w:t>
      </w:r>
    </w:p>
    <w:p>
      <w:pPr>
        <w:spacing w:after="160" w:line="276"/>
        <w:jc w:val="both"/>
      </w:pPr>
      <w:r>
        <w:rPr>
          <w:rFonts w:ascii="Times New Roman" w:cs="Times New Roman" w:eastAsia="Times New Roman" w:hAnsi="Times New Roman"/>
          <w:i/>
          <w:iCs/>
          <w:sz w:val="24"/>
          <w:szCs w:val="24"/>
        </w:rPr>
        <w:t xml:space="preserve">The appellant craves leave to add to, alter or amend any of the grounds of appeal at or before the hearing.</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2026-06-14T16:28:18.305Z</dcterms:created>
  <dcterms:modified xsi:type="dcterms:W3CDTF">2026-06-14T16:28:18.324Z</dcterms:modified>
</cp:coreProperties>
</file>

<file path=docProps/custom.xml><?xml version="1.0" encoding="utf-8"?>
<Properties xmlns="http://schemas.openxmlformats.org/officeDocument/2006/custom-properties" xmlns:vt="http://schemas.openxmlformats.org/officeDocument/2006/docPropsVTypes"/>
</file>