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ASMT-10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in Form GST ASMT-10 under Section 61 read with Rule 99 calling for GSTR-2A, GSTR-3B, purchase and sales details for FY 2017-18 and 2018-19 without specifying any discrepancy.</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scrutiny under Section 61 is confined to the return and related particulars; an ASMT-10 must inform the registered person of a SPECIFIC discrepancy and, where possible, quantify the tax — it cannot be a roving demand for documents; (2) Instruction 02/2022-GST expressly states that discrepancies must be specific (not vague/general) and that documents should normally NOT be sought before issuing ASMT-10.</w:t>
      </w:r>
    </w:p>
    <w:p>
      <w:pPr>
        <w:spacing w:after="80"/>
        <w:jc w:val="both"/>
      </w:pPr>
      <w:r>
        <w:rPr>
          <w:rFonts w:ascii="Times New Roman" w:cs="Times New Roman" w:eastAsia="Times New Roman" w:hAnsi="Times New Roman"/>
          <w:i/>
          <w:iCs/>
          <w:sz w:val="24"/>
          <w:szCs w:val="24"/>
        </w:rPr>
        <w:t xml:space="preserve">Tactically: reply on principle but, without prejudice, offer to furnish the GSTR-3B / reconciliation once the specific discrepancy is intimated — this keeps the noticee co-operative while resisting the fishing inquiry.</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does not disclose any discrepancy. It merely calls for a general production of returns and purchase/sales details for two financial years. Scrutiny under Section 61 is confined to verifying the return and related particulars by reference to the information already available with the proper officer, and the notice in Form ASMT-10 must inform the noticee of the specific discrepancy and seek an explanation. A bare demand for documents, without a stated discrepancy, is beyond the scope of Section 61.</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Scrutiny is confined to the return and related particulars. </w:t>
      </w:r>
      <w:r>
        <w:rPr>
          <w:rFonts w:ascii="Times New Roman" w:cs="Times New Roman" w:eastAsia="Times New Roman" w:hAnsi="Times New Roman"/>
          <w:sz w:val="24"/>
          <w:szCs w:val="24"/>
        </w:rPr>
        <w:t xml:space="preserve">Section 61(1) empowers the proper officer to scrutinise the return and related particulars ‘to verify the correctness of the return’ and to inform the noticee of ‘the discrepancies noticed, if any’. The exercise presupposes that a discrepancy has been noticed from the material already available; it is not a licence to call for records at large.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notice must specify the discrepancy. </w:t>
      </w:r>
      <w:r>
        <w:rPr>
          <w:rFonts w:ascii="Times New Roman" w:cs="Times New Roman" w:eastAsia="Times New Roman" w:hAnsi="Times New Roman"/>
          <w:sz w:val="24"/>
          <w:szCs w:val="24"/>
        </w:rPr>
        <w:t xml:space="preserve">Rule 99(1) requires the notice in Form ASMT-10 to inform the noticee of the discrepancy and to seek an explanation, quantifying the amount where possible. The impugned notice specifies no discrepancy and quantifies nothing; it is therefore not a valid scrutiny notice.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Documents are not to be sought before a specified discrepancy. </w:t>
      </w:r>
      <w:r>
        <w:rPr>
          <w:rFonts w:ascii="Times New Roman" w:cs="Times New Roman" w:eastAsia="Times New Roman" w:hAnsi="Times New Roman"/>
          <w:sz w:val="24"/>
          <w:szCs w:val="24"/>
        </w:rPr>
        <w:t xml:space="preserve">CBIC Instruction 02/2022-GST dated 22.03.2022 directs that the discrepancies communicated should be specific in nature and not vague or general, and that there should normally be no need to seek documents or records from the taxpayer before issuance of Form ASMT-10. The present demand runs contrary to that instruction.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Without prejudice. </w:t>
      </w:r>
      <w:r>
        <w:rPr>
          <w:rFonts w:ascii="Times New Roman" w:cs="Times New Roman" w:eastAsia="Times New Roman" w:hAnsi="Times New Roman"/>
          <w:sz w:val="24"/>
          <w:szCs w:val="24"/>
        </w:rPr>
        <w:t xml:space="preserve">Without prejudice to the above, on this office intimating the specific discrepancy with reference to the return, the noticee will furnish the relevant reconciliation and explanation in Form GST ASMT-11 within the time allowed.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notice be treated as not maintainable for want of any specified discrepancy; and that, if a discrepancy is in fact noticed, the same be intimated with particulars to enable an effective explanation.</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2026-06-14T16:28:18.640Z</dcterms:created>
  <dcterms:modified xsi:type="dcterms:W3CDTF">2026-06-14T16:28:18.640Z</dcterms:modified>
</cp:coreProperties>
</file>

<file path=docProps/custom.xml><?xml version="1.0" encoding="utf-8"?>
<Properties xmlns="http://schemas.openxmlformats.org/officeDocument/2006/custom-properties" xmlns:vt="http://schemas.openxmlformats.org/officeDocument/2006/docPropsVTypes"/>
</file>