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Proper Officer,</w:t>
      </w:r>
    </w:p>
    <w:p>
      <w:pPr>
        <w:spacing w:after="160"/>
        <w:jc w:val="left"/>
      </w:pPr>
      <w:r>
        <w:rPr>
          <w:rFonts w:ascii="Times New Roman" w:cs="Times New Roman" w:eastAsia="Times New Roman" w:hAnsi="Times New Roman"/>
          <w:sz w:val="24"/>
          <w:szCs w:val="24"/>
        </w:rPr>
        <w:t xml:space="preserve">Goods and Services Tax, [Check-post],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MOV-07 / Order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Reply/objection to the detention of goods and conveyance under Section 129(1) (Form GST MOV-06/MOV-07) on the sole ground “WRONG VEHICLE TYPE (ODC)” in the e-way bill.</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the error is clerical — the e-way bill carried the correct truck number; only the vehicle “type” field (ODC) was wrong; (2) Section 129 detention requires intent to evade tax; none exists and none was found on physical verification; (3) Circular 64/2018-GST treats minor e-way bill discrepancies — including a one/two-character vehicle-number error — as attracting only Rs. 500 + Rs. 500 under Section 125, not Section 129.</w:t>
      </w:r>
    </w:p>
    <w:p>
      <w:pPr>
        <w:spacing w:after="80"/>
        <w:jc w:val="both"/>
      </w:pPr>
      <w:r>
        <w:rPr>
          <w:rFonts w:ascii="Times New Roman" w:cs="Times New Roman" w:eastAsia="Times New Roman" w:hAnsi="Times New Roman"/>
          <w:i/>
          <w:iCs/>
          <w:sz w:val="24"/>
          <w:szCs w:val="24"/>
        </w:rPr>
        <w:t xml:space="preserve">Authority: Satyam Shivam Papers (operative ruling = Telangana HC, affirmed by the Supreme Court 12.01.2022) — mens rea to evade is a sine qua non; Hindustan Herbal Cosmetics (Allahabad HC) — minor vehicle-number error, penalty without jurisdiction. Note a contrary line (A.K. Sureka, Calcutta) is under SC challenge — re-check before filing.</w:t>
      </w:r>
    </w:p>
    <w:p>
      <w:pPr>
        <w:spacing w:after="80"/>
        <w:jc w:val="both"/>
      </w:pPr>
      <w:r>
        <w:rPr>
          <w:rFonts w:ascii="Times New Roman" w:cs="Times New Roman" w:eastAsia="Times New Roman" w:hAnsi="Times New Roman"/>
          <w:i/>
          <w:iCs/>
          <w:sz w:val="24"/>
          <w:szCs w:val="24"/>
        </w:rPr>
        <w:t xml:space="preserve">Insert invoice, e-way bill and LR particulars, the MOV timings, and the physical-verification result (no discrepancy in goods).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goods moved with a valid invoice, lorry receipt and e-way bill generated from the common portal, bearing the correct truck number. The only defect alleged is that the vehicle “type” was shown as ODC — a clerical error in a drop-down field that has no bearing on the identity of the conveyance, the goods or the tax. Physical verification disclosed no discrepancy. Detention under Section 129 is unwarranted: there is neither tax evasion nor any intent to evade.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intent to evade — the jurisdictional fact for Section 129 is absent. </w:t>
      </w:r>
      <w:r>
        <w:rPr>
          <w:rFonts w:ascii="Times New Roman" w:cs="Times New Roman" w:eastAsia="Times New Roman" w:hAnsi="Times New Roman"/>
          <w:sz w:val="24"/>
          <w:szCs w:val="24"/>
        </w:rPr>
        <w:t xml:space="preserve">Detention and penalty under Section 129 require an intent to evade tax. The goods were accompanied by all valid documents and the correct vehicle number; nothing was found amiss on physical verification. As held in Assistant Commissioner (ST) v. Satyam Shivam Papers Pvt. Ltd. (Telangana High Court, affirmed by the Supreme Court on 12.01.2022), the presence of mens rea to evade tax is a sine qua non for action under Section 129.</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wrong vehicle-type entry is a minor, clerical discrepancy. </w:t>
      </w:r>
      <w:r>
        <w:rPr>
          <w:rFonts w:ascii="Times New Roman" w:cs="Times New Roman" w:eastAsia="Times New Roman" w:hAnsi="Times New Roman"/>
          <w:sz w:val="24"/>
          <w:szCs w:val="24"/>
        </w:rPr>
        <w:t xml:space="preserve">The correct truck number was recorded in the e-way bill and the lorry receipt; only the “vehicle type” field carried an erroneous ODC selection. Such an error neither facilitates nor evidences any evasion. The Allahabad High Court in Hindustan Herbal Cosmetics v. State of U.P. set aside a Section 129 penalty founded on a minor vehicle-number error, holding it to be without jurisdiction in the absence of mens rea.</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Circular 64/2018-GST caps such errors at Rs. 1,000. </w:t>
      </w:r>
      <w:r>
        <w:rPr>
          <w:rFonts w:ascii="Times New Roman" w:cs="Times New Roman" w:eastAsia="Times New Roman" w:hAnsi="Times New Roman"/>
          <w:sz w:val="24"/>
          <w:szCs w:val="24"/>
        </w:rPr>
        <w:t xml:space="preserve">Circular 64/38/2018-GST dated 14.09.2018 lists minor discrepancies — including an error in one or two digits/characters of the vehicle number — for which proceedings under Section 129 are not to be initiated and only a penalty of Rs. 500 under the CGST Act and Rs. 500 under the SGST Act is to be imposed. The present error is squarely of that minor character.</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goods and conveyance be released forthwith; that the proceedings under Section 129 be dropped; and that, if at all, only the minor-discrepancy penalty under Circular 64/2018-GST be considered. The noticee seeks release under Section 129 and an opportunity of hearing before any penalty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2026-06-14T16:28:18.735Z</dcterms:created>
  <dcterms:modified xsi:type="dcterms:W3CDTF">2026-06-14T16:28:18.735Z</dcterms:modified>
</cp:coreProperties>
</file>

<file path=docProps/custom.xml><?xml version="1.0" encoding="utf-8"?>
<Properties xmlns="http://schemas.openxmlformats.org/officeDocument/2006/custom-properties" xmlns:vt="http://schemas.openxmlformats.org/officeDocument/2006/docPropsVTypes"/>
</file>