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Assistant Commissioner of State Tax,</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160"/>
        <w:jc w:val="left"/>
      </w:pPr>
      <w:r>
        <w:rPr>
          <w:rFonts w:ascii="Times New Roman" w:cs="Times New Roman" w:eastAsia="Times New Roman" w:hAnsi="Times New Roman"/>
          <w:sz w:val="24"/>
          <w:szCs w:val="24"/>
        </w:rPr>
        <w:t xml:space="preserve">Trade Name: M/s Notice Desk Private Limited</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Communication regarding input tax credit appearing in Form GSTR-3B in excess of Form GSTR-2B for the month of ________, the difference being on account of the supplier’s belated filing of Form GSTR-1.</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CRITICAL CORRECTION (do NOT repeat the source error): the source pleaded interest at 24% under Section 50(3) read with “section 42”. That is WRONG. Section 50(3) was substituted retrospectively from 01.07.2017; the reference to Section 42 is gone; the notified rate is 18%; and interest is chargeable ONLY on ITC “wrongly availed AND utilised” (Rule 88B). A mere timing difference is not “wrongly availed”.</w:t>
      </w:r>
    </w:p>
    <w:p>
      <w:pPr>
        <w:spacing w:after="80"/>
        <w:jc w:val="both"/>
      </w:pPr>
      <w:r>
        <w:rPr>
          <w:rFonts w:ascii="Times New Roman" w:cs="Times New Roman" w:eastAsia="Times New Roman" w:hAnsi="Times New Roman"/>
          <w:i/>
          <w:iCs/>
          <w:sz w:val="24"/>
          <w:szCs w:val="24"/>
        </w:rPr>
        <w:t xml:space="preserve">Core position: the supplier filed GSTR-1 late, so the invoice appeared in the NEXT month’s GSTR-2B; the credit is genuine and is available when it so appears. Where the credit was not wrongly availed-and-utilised, no interest arises.</w:t>
      </w:r>
    </w:p>
    <w:p>
      <w:pPr>
        <w:spacing w:after="80"/>
        <w:jc w:val="both"/>
      </w:pPr>
      <w:r>
        <w:rPr>
          <w:rFonts w:ascii="Times New Roman" w:cs="Times New Roman" w:eastAsia="Times New Roman" w:hAnsi="Times New Roman"/>
          <w:i/>
          <w:iCs/>
          <w:sz w:val="24"/>
          <w:szCs w:val="24"/>
        </w:rPr>
        <w:t xml:space="preserve">Insert the invoice particulars, the supplier’s GSTR-1 filing date, and the GSTR-2B month in which the credit appeared.</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difference between the input tax credit taken in Form GSTR-3B and that reflected in Form GSTR-2B for the month in question arises solely because the supplier filed its Form GSTR-1 belatedly. The credit is genuine — the noticee holds valid invoices, has received the goods and has paid the supplier including tax — and legitimately becomes available in the succeeding month’s Form GSTR-2B. No interest or reversal arises on a mere difference in timing.</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difference is one of timing only. </w:t>
      </w:r>
      <w:r>
        <w:rPr>
          <w:rFonts w:ascii="Times New Roman" w:cs="Times New Roman" w:eastAsia="Times New Roman" w:hAnsi="Times New Roman"/>
          <w:sz w:val="24"/>
          <w:szCs w:val="24"/>
        </w:rPr>
        <w:t xml:space="preserve">The supplier was required to file its Form GSTR-1 by the 11th of the succeeding month but filed it on the 13th. In consequence, the invoices did not appear in the noticee’s Form GSTR-2B generated on the 14th, but appeared in the following month’s Form GSTR-2B. The credit is in no manner ineligible; it is merely deferred by the supplier’s delay.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Rule 36(4) is satisfied once the credit appears in GSTR-2B. </w:t>
      </w:r>
      <w:r>
        <w:rPr>
          <w:rFonts w:ascii="Times New Roman" w:cs="Times New Roman" w:eastAsia="Times New Roman" w:hAnsi="Times New Roman"/>
          <w:sz w:val="24"/>
          <w:szCs w:val="24"/>
        </w:rPr>
        <w:t xml:space="preserve">Rule 36(4), as substituted with effect from 01.01.2022 by Notification 40/2021-Central Tax, allows credit once the invoice is furnished by the supplier in Form GSTR-1 and communicated in the noticee’s Form GSTR-2B. On the supplier’s belated filing, that condition is satisfied in the succeeding month, and the credit is properly availed then.</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interest — the credit was not wrongly availed and utilised. </w:t>
      </w:r>
      <w:r>
        <w:rPr>
          <w:rFonts w:ascii="Times New Roman" w:cs="Times New Roman" w:eastAsia="Times New Roman" w:hAnsi="Times New Roman"/>
          <w:sz w:val="24"/>
          <w:szCs w:val="24"/>
        </w:rPr>
        <w:t xml:space="preserve">Interest under Section 50(3), as substituted with retrospective effect from 01.07.2017, read with Rule 88B, is chargeable only where input tax credit has been wrongly availed and utilised, computed only when the balance in the electronic credit ledger falls below the amount in question. A bona fide timing difference, with the credit duly available in the succeeding Form GSTR-2B, attracts no interest.</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matter be treated as a mere timing difference attracting no reversal or interest; and that, if any clarification is required, the same be intimated to the noticee.</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2026-06-14T16:28:18.824Z</dcterms:created>
  <dcterms:modified xsi:type="dcterms:W3CDTF">2026-06-14T16:28:18.824Z</dcterms:modified>
</cp:coreProperties>
</file>

<file path=docProps/custom.xml><?xml version="1.0" encoding="utf-8"?>
<Properties xmlns="http://schemas.openxmlformats.org/officeDocument/2006/custom-properties" xmlns:vt="http://schemas.openxmlformats.org/officeDocument/2006/docPropsVTypes"/>
</file>