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24"/>
          <w:szCs w:val="24"/>
        </w:rPr>
        <w:t xml:space="preserve">FORM GST APL-01</w:t>
      </w:r>
    </w:p>
    <w:p>
      <w:pPr>
        <w:spacing w:after="120"/>
        <w:jc w:val="center"/>
      </w:pPr>
      <w:r>
        <w:rPr>
          <w:rFonts w:ascii="Times New Roman" w:cs="Times New Roman" w:eastAsia="Times New Roman" w:hAnsi="Times New Roman"/>
          <w:b/>
          <w:bCs/>
          <w:sz w:val="24"/>
          <w:szCs w:val="24"/>
        </w:rPr>
        <w:t xml:space="preserve">(Appeal to the Appellate Authority under Section 107 of the CGST Act, 2017) [See Rule 108(1)]</w:t>
      </w:r>
    </w:p>
    <w:p>
      <w:pPr>
        <w:pBdr>
          <w:top w:val="single" w:color="888888" w:sz="4" w:space="4"/>
          <w:bottom w:val="single" w:color="888888" w:sz="4" w:space="4"/>
        </w:pBdr>
        <w:spacing w:after="60" w:before="80"/>
      </w:pPr>
      <w:r>
        <w:rPr>
          <w:rFonts w:ascii="Times New Roman" w:cs="Times New Roman" w:eastAsia="Times New Roman" w:hAnsi="Times New Roman"/>
          <w:i/>
          <w:iCs/>
          <w:sz w:val="24"/>
          <w:szCs w:val="24"/>
        </w:rPr>
        <w:t xml:space="preserve">Drafting note (remove before filing). </w:t>
      </w:r>
    </w:p>
    <w:p>
      <w:pPr>
        <w:spacing w:after="80"/>
        <w:jc w:val="both"/>
      </w:pPr>
      <w:r>
        <w:rPr>
          <w:rFonts w:ascii="Times New Roman" w:cs="Times New Roman" w:eastAsia="Times New Roman" w:hAnsi="Times New Roman"/>
          <w:i/>
          <w:iCs/>
          <w:sz w:val="24"/>
          <w:szCs w:val="24"/>
        </w:rPr>
        <w:t xml:space="preserve">Signatory tension (carry-forward flag): the source verification is in a proprietorship form (“Prop. of M/s”, “Proprietor”). House style executes as M/s Notice Desk Private Limited by Authorised Signatory/Director. This APL-01 is cast in the company form; if the appellant is in fact a proprietorship, restore the sole-proprietor verification and signatory before filing (Rules 26 and 108) and ensure the verification clause matches the constitution of business.</w:t>
      </w:r>
    </w:p>
    <w:p>
      <w:pPr>
        <w:spacing w:after="80"/>
        <w:jc w:val="both"/>
      </w:pPr>
      <w:r>
        <w:rPr>
          <w:rFonts w:ascii="Times New Roman" w:cs="Times New Roman" w:eastAsia="Times New Roman" w:hAnsi="Times New Roman"/>
          <w:i/>
          <w:iCs/>
          <w:sz w:val="24"/>
          <w:szCs w:val="24"/>
        </w:rPr>
        <w:t xml:space="preserve">Pre-deposit CORRECTION: the source stated ‘pre-deposit 100%’. Section 107(6) requires only 10% of the disputed tax (admitted amount in full + 10% of disputed tax), through the Electronic Cash Ledger. Corrected to 10% below.</w:t>
      </w:r>
    </w:p>
    <w:p>
      <w:pPr>
        <w:spacing w:after="80"/>
        <w:jc w:val="both"/>
      </w:pPr>
      <w:r>
        <w:rPr>
          <w:rFonts w:ascii="Times New Roman" w:cs="Times New Roman" w:eastAsia="Times New Roman" w:hAnsi="Times New Roman"/>
          <w:i/>
          <w:iCs/>
          <w:sz w:val="24"/>
          <w:szCs w:val="24"/>
        </w:rPr>
        <w:t xml:space="preserve">Core merits: for FY 2017-18 and 2018-19 there was no requirement that ITC be reflected in GSTR-2A (Rule 36(4) only from 09.10.2019; Section 16(2)(aa) only from 01.01.2022); GSTR-2A is a facilitator (Bharti Airtel, SC); Circular 183/15/2022-GST provides the verification mechanism; the order is non-speaking (Section 75(6)).</w:t>
      </w:r>
    </w:p>
    <w:p>
      <w:pPr>
        <w:spacing w:after="80"/>
        <w:jc w:val="both"/>
      </w:pPr>
      <w:r>
        <w:rPr>
          <w:rFonts w:ascii="Times New Roman" w:cs="Times New Roman" w:eastAsia="Times New Roman" w:hAnsi="Times New Roman"/>
          <w:i/>
          <w:iCs/>
          <w:sz w:val="24"/>
          <w:szCs w:val="24"/>
        </w:rPr>
        <w:t xml:space="preserve">If any limb rests purely on the Section 16(4) time-bar, invoke Section 16(5) (Finance (No.2) Act 2024, retrospective) — but note the no-refund caveat under Section 150 where tax was already paid/ITC reversed.</w:t>
      </w:r>
    </w:p>
    <w:p>
      <w:pPr>
        <w:spacing w:after="80"/>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000000" w:sz="1"/>
              <w:left w:val="single" w:color="000000" w:sz="1"/>
              <w:bottom w:val="single" w:color="000000" w:sz="1"/>
              <w:right w:val="single" w:color="000000" w:sz="1"/>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4"/>
                <w:szCs w:val="24"/>
              </w:rPr>
              <w:t xml:space="preserve">1. GSTIN</w:t>
            </w:r>
          </w:p>
        </w:tc>
        <w:tc>
          <w:tcPr>
            <w:tcW w:type="dxa" w:w="5826"/>
            <w:tcBorders>
              <w:top w:val="single" w:color="000000" w:sz="1"/>
              <w:left w:val="single" w:color="000000" w:sz="1"/>
              <w:bottom w:val="single" w:color="000000" w:sz="1"/>
              <w:right w:val="single" w:color="000000" w:sz="1"/>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sz w:val="24"/>
                <w:szCs w:val="24"/>
              </w:rPr>
              <w:t xml:space="preserve">____________________</w:t>
            </w:r>
          </w:p>
        </w:tc>
      </w:tr>
      <w:tr>
        <w:tc>
          <w:tcPr>
            <w:tcW w:type="dxa" w:w="3200"/>
            <w:tcBorders>
              <w:top w:val="single" w:color="000000" w:sz="1"/>
              <w:left w:val="single" w:color="000000" w:sz="1"/>
              <w:bottom w:val="single" w:color="000000" w:sz="1"/>
              <w:right w:val="single" w:color="000000" w:sz="1"/>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4"/>
                <w:szCs w:val="24"/>
              </w:rPr>
              <w:t xml:space="preserve">2. Legal name of the appellant</w:t>
            </w:r>
          </w:p>
        </w:tc>
        <w:tc>
          <w:tcPr>
            <w:tcW w:type="dxa" w:w="5826"/>
            <w:tcBorders>
              <w:top w:val="single" w:color="000000" w:sz="1"/>
              <w:left w:val="single" w:color="000000" w:sz="1"/>
              <w:bottom w:val="single" w:color="000000" w:sz="1"/>
              <w:right w:val="single" w:color="000000" w:sz="1"/>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sz w:val="24"/>
                <w:szCs w:val="24"/>
              </w:rPr>
              <w:t xml:space="preserve">M/s Notice Desk Private Limited</w:t>
            </w:r>
          </w:p>
        </w:tc>
      </w:tr>
      <w:tr>
        <w:tc>
          <w:tcPr>
            <w:tcW w:type="dxa" w:w="3200"/>
            <w:tcBorders>
              <w:top w:val="single" w:color="000000" w:sz="1"/>
              <w:left w:val="single" w:color="000000" w:sz="1"/>
              <w:bottom w:val="single" w:color="000000" w:sz="1"/>
              <w:right w:val="single" w:color="000000" w:sz="1"/>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4"/>
                <w:szCs w:val="24"/>
              </w:rPr>
              <w:t xml:space="preserve">3. Address</w:t>
            </w:r>
          </w:p>
        </w:tc>
        <w:tc>
          <w:tcPr>
            <w:tcW w:type="dxa" w:w="5826"/>
            <w:tcBorders>
              <w:top w:val="single" w:color="000000" w:sz="1"/>
              <w:left w:val="single" w:color="000000" w:sz="1"/>
              <w:bottom w:val="single" w:color="000000" w:sz="1"/>
              <w:right w:val="single" w:color="000000" w:sz="1"/>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sz w:val="24"/>
                <w:szCs w:val="24"/>
              </w:rPr>
              <w:t xml:space="preserve">____________________</w:t>
            </w:r>
          </w:p>
        </w:tc>
      </w:tr>
      <w:tr>
        <w:tc>
          <w:tcPr>
            <w:tcW w:type="dxa" w:w="3200"/>
            <w:tcBorders>
              <w:top w:val="single" w:color="000000" w:sz="1"/>
              <w:left w:val="single" w:color="000000" w:sz="1"/>
              <w:bottom w:val="single" w:color="000000" w:sz="1"/>
              <w:right w:val="single" w:color="000000" w:sz="1"/>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4"/>
                <w:szCs w:val="24"/>
              </w:rPr>
              <w:t xml:space="preserve">4. Order appealed against – No. and date</w:t>
            </w:r>
          </w:p>
        </w:tc>
        <w:tc>
          <w:tcPr>
            <w:tcW w:type="dxa" w:w="5826"/>
            <w:tcBorders>
              <w:top w:val="single" w:color="000000" w:sz="1"/>
              <w:left w:val="single" w:color="000000" w:sz="1"/>
              <w:bottom w:val="single" w:color="000000" w:sz="1"/>
              <w:right w:val="single" w:color="000000" w:sz="1"/>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sz w:val="24"/>
                <w:szCs w:val="24"/>
              </w:rPr>
              <w:t xml:space="preserve">Order-in-Original / Summary in Form GST DRC-07 No. ____ dated ________</w:t>
            </w:r>
          </w:p>
        </w:tc>
      </w:tr>
      <w:tr>
        <w:tc>
          <w:tcPr>
            <w:tcW w:type="dxa" w:w="3200"/>
            <w:tcBorders>
              <w:top w:val="single" w:color="000000" w:sz="1"/>
              <w:left w:val="single" w:color="000000" w:sz="1"/>
              <w:bottom w:val="single" w:color="000000" w:sz="1"/>
              <w:right w:val="single" w:color="000000" w:sz="1"/>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4"/>
                <w:szCs w:val="24"/>
              </w:rPr>
              <w:t xml:space="preserve">5. Designation of the officer who passed the order</w:t>
            </w:r>
          </w:p>
        </w:tc>
        <w:tc>
          <w:tcPr>
            <w:tcW w:type="dxa" w:w="5826"/>
            <w:tcBorders>
              <w:top w:val="single" w:color="000000" w:sz="1"/>
              <w:left w:val="single" w:color="000000" w:sz="1"/>
              <w:bottom w:val="single" w:color="000000" w:sz="1"/>
              <w:right w:val="single" w:color="000000" w:sz="1"/>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sz w:val="24"/>
                <w:szCs w:val="24"/>
              </w:rPr>
              <w:t xml:space="preserve">Proper Officer, [Ward]</w:t>
            </w:r>
          </w:p>
        </w:tc>
      </w:tr>
      <w:tr>
        <w:tc>
          <w:tcPr>
            <w:tcW w:type="dxa" w:w="3200"/>
            <w:tcBorders>
              <w:top w:val="single" w:color="000000" w:sz="1"/>
              <w:left w:val="single" w:color="000000" w:sz="1"/>
              <w:bottom w:val="single" w:color="000000" w:sz="1"/>
              <w:right w:val="single" w:color="000000" w:sz="1"/>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4"/>
                <w:szCs w:val="24"/>
              </w:rPr>
              <w:t xml:space="preserve">6. Date of communication of the order</w:t>
            </w:r>
          </w:p>
        </w:tc>
        <w:tc>
          <w:tcPr>
            <w:tcW w:type="dxa" w:w="5826"/>
            <w:tcBorders>
              <w:top w:val="single" w:color="000000" w:sz="1"/>
              <w:left w:val="single" w:color="000000" w:sz="1"/>
              <w:bottom w:val="single" w:color="000000" w:sz="1"/>
              <w:right w:val="single" w:color="000000" w:sz="1"/>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sz w:val="24"/>
                <w:szCs w:val="24"/>
              </w:rPr>
              <w:t xml:space="preserve">________</w:t>
            </w:r>
          </w:p>
        </w:tc>
      </w:tr>
      <w:tr>
        <w:tc>
          <w:tcPr>
            <w:tcW w:type="dxa" w:w="3200"/>
            <w:tcBorders>
              <w:top w:val="single" w:color="000000" w:sz="1"/>
              <w:left w:val="single" w:color="000000" w:sz="1"/>
              <w:bottom w:val="single" w:color="000000" w:sz="1"/>
              <w:right w:val="single" w:color="000000" w:sz="1"/>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4"/>
                <w:szCs w:val="24"/>
              </w:rPr>
              <w:t xml:space="preserve">7. Whether appeal within limitation (3 months)</w:t>
            </w:r>
          </w:p>
        </w:tc>
        <w:tc>
          <w:tcPr>
            <w:tcW w:type="dxa" w:w="5826"/>
            <w:tcBorders>
              <w:top w:val="single" w:color="000000" w:sz="1"/>
              <w:left w:val="single" w:color="000000" w:sz="1"/>
              <w:bottom w:val="single" w:color="000000" w:sz="1"/>
              <w:right w:val="single" w:color="000000" w:sz="1"/>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sz w:val="24"/>
                <w:szCs w:val="24"/>
              </w:rPr>
              <w:t xml:space="preserve">Yes – filed within three months of communication</w:t>
            </w:r>
          </w:p>
        </w:tc>
      </w:tr>
    </w:tbl>
    <w:p>
      <w:pPr>
        <w:spacing w:after="160" w:line="276"/>
        <w:jc w:val="both"/>
      </w:pPr>
      <w:r>
        <w:rPr>
          <w:rFonts w:ascii="Times New Roman" w:cs="Times New Roman" w:eastAsia="Times New Roman" w:hAnsi="Times New Roman"/>
          <w:b/>
          <w:bCs/>
          <w:sz w:val="24"/>
          <w:szCs w:val="24"/>
        </w:rPr>
        <w:t xml:space="preserve">14. Amount of demand created, admitted and disputed: </w:t>
      </w:r>
      <w:r>
        <w:rPr>
          <w:rFonts w:ascii="Times New Roman" w:cs="Times New Roman" w:eastAsia="Times New Roman" w:hAnsi="Times New Roman"/>
          <w:sz w:val="24"/>
          <w:szCs w:val="24"/>
        </w:rPr>
        <w:t xml:space="preserve">created Rs. ____; admitted NIL; disputed Rs. ____.</w:t>
      </w:r>
    </w:p>
    <w:p>
      <w:pPr>
        <w:spacing w:after="160" w:line="276"/>
        <w:jc w:val="both"/>
      </w:pPr>
      <w:r>
        <w:rPr>
          <w:rFonts w:ascii="Times New Roman" w:cs="Times New Roman" w:eastAsia="Times New Roman" w:hAnsi="Times New Roman"/>
          <w:b/>
          <w:bCs/>
          <w:sz w:val="24"/>
          <w:szCs w:val="24"/>
        </w:rPr>
        <w:t xml:space="preserve">15. Details of payment of admitted amount and pre-deposit: </w:t>
      </w:r>
      <w:r>
        <w:rPr>
          <w:rFonts w:ascii="Times New Roman" w:cs="Times New Roman" w:eastAsia="Times New Roman" w:hAnsi="Times New Roman"/>
          <w:sz w:val="24"/>
          <w:szCs w:val="24"/>
        </w:rPr>
        <w:t xml:space="preserve">admitted amount NIL; pre-deposit of 10% of the disputed tax of Rs. ____ (i.e. Rs. ____) paid through the Electronic Cash Ledger vide debit entry No. ____ dated ________.</w:t>
      </w:r>
    </w:p>
    <w:p>
      <w:pPr>
        <w:spacing w:after="120" w:before="160"/>
        <w:jc w:val="left"/>
      </w:pPr>
      <w:r>
        <w:rPr>
          <w:rFonts w:ascii="Times New Roman" w:cs="Times New Roman" w:eastAsia="Times New Roman" w:hAnsi="Times New Roman"/>
          <w:b/>
          <w:bCs/>
          <w:sz w:val="24"/>
          <w:szCs w:val="24"/>
        </w:rPr>
        <w:t xml:space="preserve">ANNEXURE A — Statement of Facts</w:t>
      </w:r>
    </w:p>
    <w:p>
      <w:pPr>
        <w:pStyle w:val="ListParagraph"/>
        <w:numPr>
          <w:ilvl w:val="0"/>
          <w:numId w:val="2"/>
        </w:numPr>
        <w:spacing w:after="160" w:line="276"/>
        <w:jc w:val="both"/>
      </w:pPr>
      <w:r>
        <w:rPr>
          <w:rFonts w:ascii="Times New Roman" w:cs="Times New Roman" w:eastAsia="Times New Roman" w:hAnsi="Times New Roman"/>
          <w:sz w:val="24"/>
          <w:szCs w:val="24"/>
        </w:rPr>
        <w:t xml:space="preserve">The appellant was served a Show Cause Notice in Form GST DRC-01 (Ref. No. ____ dated ________) under Section 73/74, alleging availment of input tax credit in Form GSTR-3B in excess of Form GSTR-2A for FY 2017-18 and FY 2018-19, and proposing tax of Rs. ____ with penalty.</w:t>
      </w:r>
    </w:p>
    <w:p>
      <w:pPr>
        <w:pStyle w:val="ListParagraph"/>
        <w:numPr>
          <w:ilvl w:val="0"/>
          <w:numId w:val="2"/>
        </w:numPr>
        <w:spacing w:after="160" w:line="276"/>
        <w:jc w:val="both"/>
      </w:pPr>
      <w:r>
        <w:rPr>
          <w:rFonts w:ascii="Times New Roman" w:cs="Times New Roman" w:eastAsia="Times New Roman" w:hAnsi="Times New Roman"/>
          <w:sz w:val="24"/>
          <w:szCs w:val="24"/>
        </w:rPr>
        <w:t xml:space="preserve">The appellant replied on ________, submitting that Form GSTR-2A was not the basis for availment of input tax credit for those years, and that the credit was availed on the strength of valid tax invoices and receipt of the supplies.</w:t>
      </w:r>
    </w:p>
    <w:p>
      <w:pPr>
        <w:pStyle w:val="ListParagraph"/>
        <w:numPr>
          <w:ilvl w:val="0"/>
          <w:numId w:val="2"/>
        </w:numPr>
        <w:spacing w:after="160" w:line="276"/>
        <w:jc w:val="both"/>
      </w:pPr>
      <w:r>
        <w:rPr>
          <w:rFonts w:ascii="Times New Roman" w:cs="Times New Roman" w:eastAsia="Times New Roman" w:hAnsi="Times New Roman"/>
          <w:sz w:val="24"/>
          <w:szCs w:val="24"/>
        </w:rPr>
        <w:t xml:space="preserve">By the impugned order in Form GST DRC-07 dated ________, the Proper Officer confirmed the demand without dealing with the appellant’s submissions and without assigning reasons. Hence this appeal.</w:t>
      </w:r>
    </w:p>
    <w:p>
      <w:pPr>
        <w:spacing w:after="120" w:before="160"/>
        <w:jc w:val="left"/>
      </w:pPr>
      <w:r>
        <w:rPr>
          <w:rFonts w:ascii="Times New Roman" w:cs="Times New Roman" w:eastAsia="Times New Roman" w:hAnsi="Times New Roman"/>
          <w:b/>
          <w:bCs/>
          <w:sz w:val="24"/>
          <w:szCs w:val="24"/>
        </w:rPr>
        <w:t xml:space="preserve">ANNEXURE B — Grounds of Appeal</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No requirement of GSTR-2A reflection for FY 2017-18 and 2018-19. Rule 36(4) was inserted only with effect from 09.10.2019 and Section 16(2)(aa) only with effect from 01.01.2022. For the years in question there was no statutory requirement that input tax credit be reflected in Form GSTR-2A; the demand founded on a 2A-versus-3B difference is without legal basis.</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GSTR-2A is only a facilitator. As clarified by the CBIC Press Release dated 18.10.2018 and held by the Supreme Court in Union of India v. Bharti Airtel Ltd., Form GSTR-2A is merely a facilitator for self-assessment and is not the primary source for availing input tax credit; credit is taken on the basis of the invoice and receipt of supply, subject to the conditions of Section 16.</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Circular 183/15/2022-GST was not followed. For differences between Form GSTR-3B and Form GSTR-2A in FY 2017-18 and FY 2018-19, Circular 183/15/2022-GST dated 27.12.2022 prescribes verification through a supplier declaration or a certificate of a Chartered Accountant/Cost Accountant where the per-supplier difference exceeds Rs. 5 lakh. The Proper Officer did not follow this procedure before confirming the demand.</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The order is non-speaking and travels without reasons. The impugned order confirms the demand without dealing with the reply or recording reasons, in breach of Section 75(6); an unreasoned order is unsustainable.</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Bona fide recipient. The appellant holds valid invoices, has received the supplies and has paid the suppliers including tax; credit cannot be reversed at the appellant’s end for any default of a supplier without the Department first proceeding against the supplier.</w:t>
      </w:r>
    </w:p>
    <w:p>
      <w:pPr>
        <w:spacing w:after="120" w:before="160"/>
        <w:jc w:val="left"/>
      </w:pPr>
      <w:r>
        <w:rPr>
          <w:rFonts w:ascii="Times New Roman" w:cs="Times New Roman" w:eastAsia="Times New Roman" w:hAnsi="Times New Roman"/>
          <w:b/>
          <w:bCs/>
          <w:sz w:val="24"/>
          <w:szCs w:val="24"/>
        </w:rPr>
        <w:t xml:space="preserve">Prayer</w:t>
      </w:r>
    </w:p>
    <w:p>
      <w:pPr>
        <w:pStyle w:val="ListParagraph"/>
        <w:numPr>
          <w:ilvl w:val="0"/>
          <w:numId w:val="4"/>
        </w:numPr>
        <w:spacing w:after="160" w:line="276"/>
        <w:jc w:val="both"/>
      </w:pPr>
      <w:r>
        <w:rPr>
          <w:rFonts w:ascii="Times New Roman" w:cs="Times New Roman" w:eastAsia="Times New Roman" w:hAnsi="Times New Roman"/>
          <w:sz w:val="24"/>
          <w:szCs w:val="24"/>
        </w:rPr>
        <w:t xml:space="preserve">It is respectfully prayed that the impugned order in Form GST DRC-07 be set aside and the demand, interest and penalty be quashed; and, in the alternative, that the matter be remanded for a reasoned order after following Circular 183/15/2022-GST.</w:t>
      </w:r>
    </w:p>
    <w:p>
      <w:pPr>
        <w:spacing w:after="160" w:line="276"/>
        <w:jc w:val="both"/>
      </w:pPr>
      <w:r>
        <w:rPr>
          <w:rFonts w:ascii="Times New Roman" w:cs="Times New Roman" w:eastAsia="Times New Roman" w:hAnsi="Times New Roman"/>
          <w:i/>
          <w:iCs/>
          <w:sz w:val="24"/>
          <w:szCs w:val="24"/>
        </w:rPr>
        <w:t xml:space="preserve">The appellant craves leave to add to, alter or amend any of the grounds of appeal at or before the hearing.</w:t>
      </w:r>
    </w:p>
    <w:p>
      <w:pPr>
        <w:pBdr>
          <w:top w:val="single" w:color="888888" w:sz="4" w:space="4"/>
          <w:bottom w:val="single" w:color="888888" w:sz="4" w:space="4"/>
        </w:pBdr>
        <w:spacing w:after="60" w:before="80"/>
      </w:pPr>
      <w:r>
        <w:rPr>
          <w:rFonts w:ascii="Times New Roman" w:cs="Times New Roman" w:eastAsia="Times New Roman" w:hAnsi="Times New Roman"/>
          <w:i/>
          <w:iCs/>
          <w:sz w:val="24"/>
          <w:szCs w:val="24"/>
        </w:rPr>
        <w:t xml:space="preserve">Drafting note (remove before filing). </w:t>
      </w:r>
    </w:p>
    <w:p>
      <w:pPr>
        <w:spacing w:after="80"/>
        <w:jc w:val="both"/>
      </w:pPr>
      <w:r>
        <w:rPr>
          <w:rFonts w:ascii="Times New Roman" w:cs="Times New Roman" w:eastAsia="Times New Roman" w:hAnsi="Times New Roman"/>
          <w:i/>
          <w:iCs/>
          <w:sz w:val="24"/>
          <w:szCs w:val="24"/>
        </w:rPr>
        <w:t xml:space="preserve">GSTAT-stage note: if relief is not obtained at the first-appeal stage, the next remedy lies before the GST Appellate Tribunal under Section 112. Re-check the notified limitation and the pre-deposit applicable at the Tribunal stage before any further appeal.</w:t>
      </w:r>
    </w:p>
    <w:p>
      <w:pPr>
        <w:spacing w:after="80"/>
      </w:pPr>
      <w:r>
        <w:rPr>
          <w:rFonts w:ascii="Times New Roman" w:cs="Times New Roman" w:eastAsia="Times New Roman" w:hAnsi="Times New Roman"/>
          <w:sz w:val="24"/>
          <w:szCs w:val="24"/>
        </w:rPr>
        <w:t xml:space="preserve"/>
      </w:r>
    </w:p>
    <w:p>
      <w:pPr>
        <w:spacing w:after="20" w:before="240"/>
      </w:pPr>
      <w:r>
        <w:rPr>
          <w:rFonts w:ascii="Times New Roman" w:cs="Times New Roman" w:eastAsia="Times New Roman" w:hAnsi="Times New Roman"/>
          <w:sz w:val="24"/>
          <w:szCs w:val="24"/>
        </w:rPr>
        <w:t xml:space="preserve">Yours faithfully,</w:t>
      </w:r>
    </w:p>
    <w:p>
      <w:pPr>
        <w:spacing w:after="20"/>
      </w:pPr>
      <w:r>
        <w:rPr>
          <w:rFonts w:ascii="Times New Roman" w:cs="Times New Roman" w:eastAsia="Times New Roman" w:hAnsi="Times New Roman"/>
          <w:b/>
          <w:bCs/>
          <w:sz w:val="24"/>
          <w:szCs w:val="24"/>
        </w:rPr>
        <w:t xml:space="preserve">For M/s Notice Desk Private Limited</w:t>
      </w:r>
    </w:p>
    <w:p>
      <w:pPr>
        <w:spacing w:after="20" w:before="320"/>
      </w:pPr>
      <w:r>
        <w:rPr>
          <w:rFonts w:ascii="Times New Roman" w:cs="Times New Roman" w:eastAsia="Times New Roman" w:hAnsi="Times New Roman"/>
          <w:sz w:val="24"/>
          <w:szCs w:val="24"/>
        </w:rPr>
        <w:t xml:space="preserve">_______________________________</w:t>
      </w:r>
    </w:p>
    <w:p>
      <w:pPr>
        <w:spacing w:after="20"/>
      </w:pPr>
      <w:r>
        <w:rPr>
          <w:rFonts w:ascii="Times New Roman" w:cs="Times New Roman" w:eastAsia="Times New Roman" w:hAnsi="Times New Roman"/>
          <w:sz w:val="24"/>
          <w:szCs w:val="24"/>
        </w:rPr>
        <w:t xml:space="preserve">Authorised Signatory / Director</w:t>
      </w:r>
    </w:p>
    <w:p>
      <w:pPr>
        <w:spacing w:after="20"/>
      </w:pPr>
      <w:r>
        <w:rPr>
          <w:rFonts w:ascii="Times New Roman" w:cs="Times New Roman" w:eastAsia="Times New Roman" w:hAnsi="Times New Roman"/>
          <w:sz w:val="24"/>
          <w:szCs w:val="24"/>
        </w:rPr>
        <w:t xml:space="preserve">Place: Nasik</w:t>
      </w:r>
    </w:p>
    <w:p>
      <w:pPr>
        <w:spacing w:after="20"/>
      </w:pPr>
      <w:r>
        <w:rPr>
          <w:rFonts w:ascii="Times New Roman" w:cs="Times New Roman" w:eastAsia="Times New Roman" w:hAnsi="Times New Roman"/>
          <w:sz w:val="24"/>
          <w:szCs w:val="24"/>
        </w:rPr>
        <w:t xml:space="preserve">Date: 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60"/>
      </w:pPr>
    </w:lvl>
  </w:abstractNum>
  <w:abstractNum w:abstractNumId="3" w15:restartNumberingAfterBreak="0">
    <w:multiLevelType w:val="hybridMultilevel"/>
    <w:lvl w:ilvl="0" w15:tentative="1">
      <w:start w:val="1"/>
      <w:numFmt w:val="decimal"/>
      <w:lvlText w:val="%1."/>
      <w:lvlJc w:val="left"/>
      <w:pPr>
        <w:ind w:left="600" w:hanging="360"/>
      </w:pPr>
    </w:lvl>
  </w:abstractNum>
  <w:abstractNum w:abstractNumId="4" w15:restartNumberingAfterBreak="0">
    <w:multiLevelType w:val="hybridMultilevel"/>
    <w:lvl w:ilvl="0" w15:tentative="1">
      <w:start w:val="1"/>
      <w:numFmt w:val="decimal"/>
      <w:lvlText w:val="%1."/>
      <w:lvlJc w:val="left"/>
      <w:pPr>
        <w:ind w:left="600" w:hanging="360"/>
      </w:pPr>
    </w:lvl>
  </w:abstractNum>
  <w:abstractNum w:abstractNumId="5" w15:restartNumberingAfterBreak="0">
    <w:multiLevelType w:val="hybridMultilevel"/>
    <w:lvl w:ilvl="0" w15:tentative="1">
      <w:start w:val="1"/>
      <w:numFmt w:val="decimal"/>
      <w:lvlText w:val="%1."/>
      <w:lvlJc w:val="left"/>
      <w:pPr>
        <w:ind w:left="600" w:hanging="360"/>
      </w:pPr>
    </w:lvl>
  </w:abstractNum>
  <w:abstractNum w:abstractNumId="6"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5"/>
    <w:lvlOverride w:ilvl="0">
      <w:startOverride w:val="1"/>
    </w:lvlOverride>
  </w:num>
  <w:num w:numId="3">
    <w:abstractNumId w:val="6"/>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2026-06-14T16:28:18.926Z</dcterms:created>
  <dcterms:modified xsi:type="dcterms:W3CDTF">2026-06-14T16:28:18.926Z</dcterms:modified>
</cp:coreProperties>
</file>

<file path=docProps/custom.xml><?xml version="1.0" encoding="utf-8"?>
<Properties xmlns="http://schemas.openxmlformats.org/officeDocument/2006/custom-properties" xmlns:vt="http://schemas.openxmlformats.org/officeDocument/2006/docPropsVTypes"/>
</file>