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Times New Roman" w:cs="Times New Roman" w:eastAsia="Times New Roman" w:hAnsi="Times New Roman"/>
          <w:sz w:val="24"/>
          <w:szCs w:val="24"/>
        </w:rPr>
        <w:t xml:space="preserve">To,</w:t>
      </w:r>
    </w:p>
    <w:p>
      <w:pPr>
        <w:spacing w:after="20"/>
        <w:jc w:val="left"/>
      </w:pPr>
      <w:r>
        <w:rPr>
          <w:rFonts w:ascii="Times New Roman" w:cs="Times New Roman" w:eastAsia="Times New Roman" w:hAnsi="Times New Roman"/>
          <w:sz w:val="24"/>
          <w:szCs w:val="24"/>
        </w:rPr>
        <w:t xml:space="preserve">The State Tax Officer,</w:t>
      </w:r>
    </w:p>
    <w:p>
      <w:pPr>
        <w:spacing w:after="160"/>
        <w:jc w:val="left"/>
      </w:pPr>
      <w:r>
        <w:rPr>
          <w:rFonts w:ascii="Times New Roman" w:cs="Times New Roman" w:eastAsia="Times New Roman" w:hAnsi="Times New Roman"/>
          <w:sz w:val="24"/>
          <w:szCs w:val="24"/>
        </w:rPr>
        <w:t xml:space="preserve">Goods and Services Tax, Bikaner, Rajasthan</w:t>
      </w:r>
    </w:p>
    <w:p>
      <w:pPr>
        <w:spacing w:after="20"/>
        <w:jc w:val="left"/>
      </w:pPr>
      <w:r>
        <w:rPr>
          <w:rFonts w:ascii="Times New Roman" w:cs="Times New Roman" w:eastAsia="Times New Roman" w:hAnsi="Times New Roman"/>
          <w:sz w:val="24"/>
          <w:szCs w:val="24"/>
        </w:rPr>
        <w:t xml:space="preserve">GSTIN: ____________________</w:t>
      </w:r>
    </w:p>
    <w:p>
      <w:pPr>
        <w:spacing w:after="20"/>
        <w:jc w:val="left"/>
      </w:pPr>
      <w:r>
        <w:rPr>
          <w:rFonts w:ascii="Times New Roman" w:cs="Times New Roman" w:eastAsia="Times New Roman" w:hAnsi="Times New Roman"/>
          <w:sz w:val="24"/>
          <w:szCs w:val="24"/>
        </w:rPr>
        <w:t xml:space="preserve">Trade Name: M/s Notice Desk Private Limited</w:t>
      </w:r>
    </w:p>
    <w:p>
      <w:pPr>
        <w:spacing w:after="160"/>
        <w:jc w:val="left"/>
      </w:pPr>
      <w:r>
        <w:rPr>
          <w:rFonts w:ascii="Times New Roman" w:cs="Times New Roman" w:eastAsia="Times New Roman" w:hAnsi="Times New Roman"/>
          <w:sz w:val="24"/>
          <w:szCs w:val="24"/>
        </w:rPr>
        <w:t xml:space="preserve">Reference (ASMT-10 / DRC-01) No.: ____________  dated __________</w:t>
      </w:r>
    </w:p>
    <w:p>
      <w:pPr>
        <w:spacing w:after="120"/>
        <w:jc w:val="left"/>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Show Cause Notice / scrutiny query asking why input tax credit availed in Form GSTR-3B was less than that appearing in Form GSTR-2A for the period January 2020 to March 2020.</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Core lever: GSTR-2A / Rule 36(4) is a CEILING, not a floor. Availing LESS ITC than appears in GSTR-2A is no contravention; there is no provision penalising under-availment, and it occasions no loss to the revenue.</w:t>
      </w:r>
    </w:p>
    <w:p>
      <w:pPr>
        <w:spacing w:after="80"/>
        <w:jc w:val="both"/>
      </w:pPr>
      <w:r>
        <w:rPr>
          <w:rFonts w:ascii="Times New Roman" w:cs="Times New Roman" w:eastAsia="Times New Roman" w:hAnsi="Times New Roman"/>
          <w:i/>
          <w:iCs/>
          <w:sz w:val="24"/>
          <w:szCs w:val="24"/>
        </w:rPr>
        <w:t xml:space="preserve">If any of the under-claimed credit is now sought to be availed, note Section 16(5) (Finance (No.2) Act 2024, retrospective) protects ITC for FY 2017-18 to 2020-21 taken in returns filed up to 30.11.2021 — but it relaxes only the time limit, not Section 16(2)/Rule 36(4) eligibility, and no refund of reversed credit is available (Section 150, Finance (No.2) Act 2024).</w:t>
      </w:r>
    </w:p>
    <w:p>
      <w:pPr>
        <w:spacing w:after="80"/>
      </w:pPr>
      <w:r>
        <w:rPr>
          <w:rFonts w:ascii="Times New Roman" w:cs="Times New Roman" w:eastAsia="Times New Roman" w:hAnsi="Times New Roman"/>
          <w:sz w:val="24"/>
          <w:szCs w:val="24"/>
        </w:rPr>
        <w:t xml:space="preserve"/>
      </w:r>
    </w:p>
    <w:p>
      <w:pPr>
        <w:spacing w:after="120" w:before="160"/>
        <w:jc w:val="left"/>
      </w:pPr>
      <w:r>
        <w:rPr>
          <w:rFonts w:ascii="Times New Roman" w:cs="Times New Roman" w:eastAsia="Times New Roman" w:hAnsi="Times New Roman"/>
          <w:b/>
          <w:bCs/>
          <w:sz w:val="24"/>
          <w:szCs w:val="24"/>
        </w:rPr>
        <w:t xml:space="preserve">Synopsis</w:t>
      </w:r>
    </w:p>
    <w:p>
      <w:pPr>
        <w:spacing w:after="160" w:line="276"/>
        <w:jc w:val="both"/>
      </w:pPr>
      <w:r>
        <w:rPr>
          <w:rFonts w:ascii="Times New Roman" w:cs="Times New Roman" w:eastAsia="Times New Roman" w:hAnsi="Times New Roman"/>
          <w:sz w:val="24"/>
          <w:szCs w:val="24"/>
        </w:rPr>
        <w:t xml:space="preserve">The notice proceeds on the misconception that input tax credit must be availed up to the figure reflected in Form GSTR-2A. The position is the converse: Form GSTR-2A and Rule 36(4) prescribe the maximum credit that may be taken, not a minimum. Availing less credit than appears in Form GSTR-2A is in no manner a contravention of the Act or the rules.</w:t>
      </w:r>
    </w:p>
    <w:p>
      <w:pPr>
        <w:spacing w:after="120" w:before="160"/>
        <w:jc w:val="left"/>
      </w:pPr>
      <w:r>
        <w:rPr>
          <w:rFonts w:ascii="Times New Roman" w:cs="Times New Roman" w:eastAsia="Times New Roman" w:hAnsi="Times New Roman"/>
          <w:b/>
          <w:bCs/>
          <w:sz w:val="24"/>
          <w:szCs w:val="24"/>
        </w:rPr>
        <w:t xml:space="preserve">Submissions</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GSTR-2A operates as a ceiling, not a floor. </w:t>
      </w:r>
      <w:r>
        <w:rPr>
          <w:rFonts w:ascii="Times New Roman" w:cs="Times New Roman" w:eastAsia="Times New Roman" w:hAnsi="Times New Roman"/>
          <w:sz w:val="24"/>
          <w:szCs w:val="24"/>
        </w:rPr>
        <w:t xml:space="preserve">For the period in question, Rule 36(4) restricted credit in respect of invoices not uploaded by suppliers to a specified percentage of the eligible credit appearing in Form GSTR-2A. The provision caps the credit a registered person may take; it does not oblige a person to take the full credit so reflected.</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Under-availment is not an offence. </w:t>
      </w:r>
      <w:r>
        <w:rPr>
          <w:rFonts w:ascii="Times New Roman" w:cs="Times New Roman" w:eastAsia="Times New Roman" w:hAnsi="Times New Roman"/>
          <w:sz w:val="24"/>
          <w:szCs w:val="24"/>
        </w:rPr>
        <w:t xml:space="preserve">There is no provision in the Act or the rules that penalises a registered person for availing less credit than appears in Form GSTR-2A. A registered person takes credit on self-assessment of its eligibility under Section 16; availing less than the maximum occasions no loss whatsoever to the revenue.</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Liberty to avail eligible credit later. </w:t>
      </w:r>
      <w:r>
        <w:rPr>
          <w:rFonts w:ascii="Times New Roman" w:cs="Times New Roman" w:eastAsia="Times New Roman" w:hAnsi="Times New Roman"/>
          <w:sz w:val="24"/>
          <w:szCs w:val="24"/>
        </w:rPr>
        <w:t xml:space="preserve">To the extent any eligible credit was not availed in the relevant period, the noticee is entitled to take it within the time permitted by Section 16(4), as extended for the years 2017-18 to 2020-21 by Section 16(5) for returns filed up to 30 November 2021.</w:t>
      </w:r>
    </w:p>
    <w:p>
      <w:pPr>
        <w:spacing w:after="120" w:before="160"/>
        <w:jc w:val="left"/>
      </w:pPr>
      <w:r>
        <w:rPr>
          <w:rFonts w:ascii="Times New Roman" w:cs="Times New Roman" w:eastAsia="Times New Roman" w:hAnsi="Times New Roman"/>
          <w:b/>
          <w:bCs/>
          <w:sz w:val="24"/>
          <w:szCs w:val="24"/>
        </w:rPr>
        <w:t xml:space="preserve">Prayer</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It is respectfully prayed that the proceedings be dropped, the availment of less credit than appears in Form GSTR-2A being no contravention of the Act or the rules.</w:t>
      </w:r>
    </w:p>
    <w:p>
      <w:pPr>
        <w:spacing w:after="20" w:before="24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pPr>
        <w:spacing w:after="20" w:before="32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2026-06-15T09:00:43.385Z</dcterms:created>
  <dcterms:modified xsi:type="dcterms:W3CDTF">2026-06-15T09:00:43.385Z</dcterms:modified>
</cp:coreProperties>
</file>

<file path=docProps/custom.xml><?xml version="1.0" encoding="utf-8"?>
<Properties xmlns="http://schemas.openxmlformats.org/officeDocument/2006/custom-properties" xmlns:vt="http://schemas.openxmlformats.org/officeDocument/2006/docPropsVTypes"/>
</file>