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left"/>
      </w:pPr>
      <w:r>
        <w:rPr>
          <w:rFonts w:ascii="Times New Roman" w:cs="Times New Roman" w:eastAsia="Times New Roman" w:hAnsi="Times New Roman"/>
          <w:sz w:val="24"/>
          <w:szCs w:val="24"/>
        </w:rPr>
        <w:t xml:space="preserve">To,</w:t>
      </w:r>
    </w:p>
    <w:p>
      <w:pPr>
        <w:spacing w:after="20"/>
        <w:jc w:val="left"/>
      </w:pPr>
      <w:r>
        <w:rPr>
          <w:rFonts w:ascii="Times New Roman" w:cs="Times New Roman" w:eastAsia="Times New Roman" w:hAnsi="Times New Roman"/>
          <w:sz w:val="24"/>
          <w:szCs w:val="24"/>
        </w:rPr>
        <w:t xml:space="preserve">The Assistant Commissioner,</w:t>
      </w:r>
    </w:p>
    <w:p>
      <w:pPr>
        <w:spacing w:after="160"/>
        <w:jc w:val="left"/>
      </w:pPr>
      <w:r>
        <w:rPr>
          <w:rFonts w:ascii="Times New Roman" w:cs="Times New Roman" w:eastAsia="Times New Roman" w:hAnsi="Times New Roman"/>
          <w:sz w:val="24"/>
          <w:szCs w:val="24"/>
        </w:rPr>
        <w:t xml:space="preserve">Goods and Services Tax, [Division], [State]</w:t>
      </w:r>
    </w:p>
    <w:p>
      <w:pPr>
        <w:spacing w:after="20"/>
        <w:jc w:val="left"/>
      </w:pPr>
      <w:r>
        <w:rPr>
          <w:rFonts w:ascii="Times New Roman" w:cs="Times New Roman" w:eastAsia="Times New Roman" w:hAnsi="Times New Roman"/>
          <w:sz w:val="24"/>
          <w:szCs w:val="24"/>
        </w:rPr>
        <w:t xml:space="preserve">GSTIN: ____________________</w:t>
      </w:r>
    </w:p>
    <w:p>
      <w:pPr>
        <w:spacing w:after="20"/>
        <w:jc w:val="left"/>
      </w:pPr>
      <w:r>
        <w:rPr>
          <w:rFonts w:ascii="Times New Roman" w:cs="Times New Roman" w:eastAsia="Times New Roman" w:hAnsi="Times New Roman"/>
          <w:sz w:val="24"/>
          <w:szCs w:val="24"/>
        </w:rPr>
        <w:t xml:space="preserve">Trade Name: M/s Notice Desk Private Limited</w:t>
      </w:r>
    </w:p>
    <w:p>
      <w:pPr>
        <w:spacing w:after="160"/>
        <w:jc w:val="left"/>
      </w:pPr>
      <w:r>
        <w:rPr>
          <w:rFonts w:ascii="Times New Roman" w:cs="Times New Roman" w:eastAsia="Times New Roman" w:hAnsi="Times New Roman"/>
          <w:sz w:val="24"/>
          <w:szCs w:val="24"/>
        </w:rPr>
        <w:t xml:space="preserve">Form DRC-01 (Summary) Reference No.: ____________  dated __________</w:t>
      </w:r>
    </w:p>
    <w:p>
      <w:pPr>
        <w:spacing w:after="120"/>
        <w:jc w:val="left"/>
      </w:pPr>
      <w:r>
        <w:rPr>
          <w:rFonts w:ascii="Times New Roman" w:cs="Times New Roman" w:eastAsia="Times New Roman" w:hAnsi="Times New Roman"/>
          <w:b/>
          <w:bCs/>
          <w:sz w:val="24"/>
          <w:szCs w:val="24"/>
        </w:rPr>
        <w:t xml:space="preserve">Subject: </w:t>
      </w:r>
      <w:r>
        <w:rPr>
          <w:rFonts w:ascii="Times New Roman" w:cs="Times New Roman" w:eastAsia="Times New Roman" w:hAnsi="Times New Roman"/>
          <w:sz w:val="24"/>
          <w:szCs w:val="24"/>
        </w:rPr>
        <w:t xml:space="preserve">Reply to the “Summary of Show Cause Notice” in Form GST DRC-01 served by email under Section 73/74, no proper Show Cause Notice having been issued.</w:t>
      </w:r>
    </w:p>
    <w:p>
      <w:pPr>
        <w:pBdr>
          <w:top w:val="single" w:color="888888" w:sz="4" w:space="4"/>
          <w:bottom w:val="single" w:color="888888" w:sz="4" w:space="4"/>
        </w:pBdr>
        <w:spacing w:after="60" w:before="80"/>
      </w:pPr>
      <w:r>
        <w:rPr>
          <w:rFonts w:ascii="Times New Roman" w:cs="Times New Roman" w:eastAsia="Times New Roman" w:hAnsi="Times New Roman"/>
          <w:i/>
          <w:iCs/>
          <w:sz w:val="24"/>
          <w:szCs w:val="24"/>
        </w:rPr>
        <w:t xml:space="preserve">Drafting note (remove before filing). </w:t>
      </w:r>
    </w:p>
    <w:p>
      <w:pPr>
        <w:spacing w:after="80"/>
        <w:jc w:val="both"/>
      </w:pPr>
      <w:r>
        <w:rPr>
          <w:rFonts w:ascii="Times New Roman" w:cs="Times New Roman" w:eastAsia="Times New Roman" w:hAnsi="Times New Roman"/>
          <w:i/>
          <w:iCs/>
          <w:sz w:val="24"/>
          <w:szCs w:val="24"/>
        </w:rPr>
        <w:t xml:space="preserve">Core levers: Rule 142(1) requires the proper officer to serve a Summary in DRC-01 ALONG WITH the show cause notice; the summary is an additional requirement, not a substitute. A DRC-01 summary served alone, without a proper SCN, is invalid; the SCN and any statement must also be authenticated/signed under Rule 26(3); a Section 75(4) hearing is mandatory.</w:t>
      </w:r>
    </w:p>
    <w:p>
      <w:pPr>
        <w:spacing w:after="80"/>
        <w:jc w:val="both"/>
      </w:pPr>
      <w:r>
        <w:rPr>
          <w:rFonts w:ascii="Times New Roman" w:cs="Times New Roman" w:eastAsia="Times New Roman" w:hAnsi="Times New Roman"/>
          <w:i/>
          <w:iCs/>
          <w:sz w:val="24"/>
          <w:szCs w:val="24"/>
        </w:rPr>
        <w:t xml:space="preserve">Authority: NKAS Services (Jharkhand HC, W.P.(T) 2444/2021 &amp; 2659/2021) and Construction Catalysers (Gauhati HC, WP(C) 3912/2024, 26.09.2024, para 29), repeatedly reaffirmed through 2025-2026. Relief is usually remand (limitation excluded for the intervening period). Anticipate an alternative-remedy objection outside Gauhati/Jharkhand.</w:t>
      </w:r>
    </w:p>
    <w:p>
      <w:pPr>
        <w:spacing w:after="80"/>
      </w:pPr>
      <w:r>
        <w:rPr>
          <w:rFonts w:ascii="Times New Roman" w:cs="Times New Roman" w:eastAsia="Times New Roman" w:hAnsi="Times New Roman"/>
          <w:sz w:val="24"/>
          <w:szCs w:val="24"/>
        </w:rPr>
        <w:t xml:space="preserve"/>
      </w:r>
    </w:p>
    <w:p>
      <w:pPr>
        <w:spacing w:after="120" w:before="160"/>
        <w:jc w:val="left"/>
      </w:pPr>
      <w:r>
        <w:rPr>
          <w:rFonts w:ascii="Times New Roman" w:cs="Times New Roman" w:eastAsia="Times New Roman" w:hAnsi="Times New Roman"/>
          <w:b/>
          <w:bCs/>
          <w:sz w:val="24"/>
          <w:szCs w:val="24"/>
        </w:rPr>
        <w:t xml:space="preserve">Synopsis</w:t>
      </w:r>
    </w:p>
    <w:p>
      <w:pPr>
        <w:spacing w:after="160" w:line="276"/>
        <w:jc w:val="both"/>
      </w:pPr>
      <w:r>
        <w:rPr>
          <w:rFonts w:ascii="Times New Roman" w:cs="Times New Roman" w:eastAsia="Times New Roman" w:hAnsi="Times New Roman"/>
          <w:sz w:val="24"/>
          <w:szCs w:val="24"/>
        </w:rPr>
        <w:t xml:space="preserve">Only a “Summary of Show Cause Notice” in Form GST DRC-01 has been served, by email. No proper show cause notice under Section 73(1)/74(1), setting out the allegation, the provision and the basis, has been issued. Rule 142(1) requires the summary to be served along with the show cause notice; a summary by itself is not a notice known to the Act and cannot found an adjudication.</w:t>
      </w:r>
    </w:p>
    <w:p>
      <w:pPr>
        <w:spacing w:after="120" w:before="160"/>
        <w:jc w:val="left"/>
      </w:pPr>
      <w:r>
        <w:rPr>
          <w:rFonts w:ascii="Times New Roman" w:cs="Times New Roman" w:eastAsia="Times New Roman" w:hAnsi="Times New Roman"/>
          <w:b/>
          <w:bCs/>
          <w:sz w:val="24"/>
          <w:szCs w:val="24"/>
        </w:rPr>
        <w:t xml:space="preserve">Submissions</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Rule 142(1) requires a proper notice and the summary together. </w:t>
      </w:r>
      <w:r>
        <w:rPr>
          <w:rFonts w:ascii="Times New Roman" w:cs="Times New Roman" w:eastAsia="Times New Roman" w:hAnsi="Times New Roman"/>
          <w:sz w:val="24"/>
          <w:szCs w:val="24"/>
        </w:rPr>
        <w:t xml:space="preserve">Rule 142(1) directs the proper officer to serve, ‘along with’ the notice issued under Section 73 or 74, a summary thereof electronically in Form GST DRC-01. The summary is an additional, intimation document; it presupposes and accompanies a proper show cause notice. It is not itself the show cause notice and cannot substitute it.</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A summary alone is not a valid notice. </w:t>
      </w:r>
      <w:r>
        <w:rPr>
          <w:rFonts w:ascii="Times New Roman" w:cs="Times New Roman" w:eastAsia="Times New Roman" w:hAnsi="Times New Roman"/>
          <w:sz w:val="24"/>
          <w:szCs w:val="24"/>
        </w:rPr>
        <w:t xml:space="preserve">It has been held by the Jharkhand High Court in M/s NKAS Services Pvt. Ltd. v. State of Jharkhand, and by the Gauhati High Court in Construction Catalysers Pvt. Ltd. v. State of Assam (26.09.2024, paragraph 29), that the Summary in Form DRC-01 cannot substitute the show cause notice required by Section 73(1)/74(1); the absence of a proper notice vitiates the proceedings.</w:t>
      </w:r>
      <w:r>
        <w:rPr>
          <w:rFonts w:ascii="Times New Roman" w:cs="Times New Roman" w:eastAsia="Times New Roman" w:hAnsi="Times New Roman"/>
          <w:b/>
          <w:bCs/>
          <w:sz w:val="24"/>
          <w:szCs w:val="24"/>
        </w:rPr>
        <w:t xml:space="preserve"> [VERIFY]</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Want of authentication and of hearing. </w:t>
      </w:r>
      <w:r>
        <w:rPr>
          <w:rFonts w:ascii="Times New Roman" w:cs="Times New Roman" w:eastAsia="Times New Roman" w:hAnsi="Times New Roman"/>
          <w:sz w:val="24"/>
          <w:szCs w:val="24"/>
        </w:rPr>
        <w:t xml:space="preserve">The notice and any statement of determination must be authenticated/signed by the proper officer as required by Rule 26(3); an unauthenticated communication has no legal efficacy. Further, Section 75(4) mandates an opportunity of personal hearing, which has not been afforded.</w:t>
      </w:r>
    </w:p>
    <w:p>
      <w:pPr>
        <w:spacing w:after="120" w:before="160"/>
        <w:jc w:val="left"/>
      </w:pPr>
      <w:r>
        <w:rPr>
          <w:rFonts w:ascii="Times New Roman" w:cs="Times New Roman" w:eastAsia="Times New Roman" w:hAnsi="Times New Roman"/>
          <w:b/>
          <w:bCs/>
          <w:sz w:val="24"/>
          <w:szCs w:val="24"/>
        </w:rPr>
        <w:t xml:space="preserve">Prayer</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It is respectfully prayed that the proceedings founded on the Summary in Form DRC-01 be dropped for want of a proper show cause notice; and that no adjudication be made except upon a notice issued and authenticated in accordance with law, after a personal hearing.</w:t>
      </w:r>
    </w:p>
    <w:p>
      <w:pPr>
        <w:spacing w:after="20" w:before="240"/>
      </w:pPr>
      <w:r>
        <w:rPr>
          <w:rFonts w:ascii="Times New Roman" w:cs="Times New Roman" w:eastAsia="Times New Roman" w:hAnsi="Times New Roman"/>
          <w:sz w:val="24"/>
          <w:szCs w:val="24"/>
        </w:rPr>
        <w:t xml:space="preserve">Yours faithfully,</w:t>
      </w:r>
    </w:p>
    <w:p>
      <w:pPr>
        <w:spacing w:after="20"/>
      </w:pPr>
      <w:r>
        <w:rPr>
          <w:rFonts w:ascii="Times New Roman" w:cs="Times New Roman" w:eastAsia="Times New Roman" w:hAnsi="Times New Roman"/>
          <w:b/>
          <w:bCs/>
          <w:sz w:val="24"/>
          <w:szCs w:val="24"/>
        </w:rPr>
        <w:t xml:space="preserve">For M/s Notice Desk Private Limited</w:t>
      </w:r>
    </w:p>
    <w:p>
      <w:pPr>
        <w:spacing w:after="20" w:before="320"/>
      </w:pPr>
      <w:r>
        <w:rPr>
          <w:rFonts w:ascii="Times New Roman" w:cs="Times New Roman" w:eastAsia="Times New Roman" w:hAnsi="Times New Roman"/>
          <w:sz w:val="24"/>
          <w:szCs w:val="24"/>
        </w:rPr>
        <w:t xml:space="preserve">_______________________________</w:t>
      </w:r>
    </w:p>
    <w:p>
      <w:pPr>
        <w:spacing w:after="20"/>
      </w:pPr>
      <w:r>
        <w:rPr>
          <w:rFonts w:ascii="Times New Roman" w:cs="Times New Roman" w:eastAsia="Times New Roman" w:hAnsi="Times New Roman"/>
          <w:sz w:val="24"/>
          <w:szCs w:val="24"/>
        </w:rPr>
        <w:t xml:space="preserve">Authorised Signatory / Director</w:t>
      </w:r>
    </w:p>
    <w:p>
      <w:pPr>
        <w:spacing w:after="20"/>
      </w:pPr>
      <w:r>
        <w:rPr>
          <w:rFonts w:ascii="Times New Roman" w:cs="Times New Roman" w:eastAsia="Times New Roman" w:hAnsi="Times New Roman"/>
          <w:sz w:val="24"/>
          <w:szCs w:val="24"/>
        </w:rPr>
        <w:t xml:space="preserve">Place: Nasik</w:t>
      </w:r>
    </w:p>
    <w:p>
      <w:pPr>
        <w:spacing w:after="20"/>
      </w:pPr>
      <w:r>
        <w:rPr>
          <w:rFonts w:ascii="Times New Roman" w:cs="Times New Roman" w:eastAsia="Times New Roman" w:hAnsi="Times New Roman"/>
          <w:sz w:val="24"/>
          <w:szCs w:val="24"/>
        </w:rPr>
        <w:t xml:space="preserve">Date: 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60"/>
      </w:pPr>
    </w:lvl>
  </w:abstractNum>
  <w:abstractNum w:abstractNumId="3" w15:restartNumberingAfterBreak="0">
    <w:multiLevelType w:val="hybridMultilevel"/>
    <w:lvl w:ilvl="0" w15:tentative="1">
      <w:start w:val="1"/>
      <w:numFmt w:val="decimal"/>
      <w:lvlText w:val="%1."/>
      <w:lvlJc w:val="left"/>
      <w:pPr>
        <w:ind w:left="600" w:hanging="360"/>
      </w:pPr>
    </w:lvl>
  </w:abstractNum>
  <w:abstractNum w:abstractNumId="4"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2026-06-15T09:00:43.653Z</dcterms:created>
  <dcterms:modified xsi:type="dcterms:W3CDTF">2026-06-15T09:00:43.653Z</dcterms:modified>
</cp:coreProperties>
</file>

<file path=docProps/custom.xml><?xml version="1.0" encoding="utf-8"?>
<Properties xmlns="http://schemas.openxmlformats.org/officeDocument/2006/custom-properties" xmlns:vt="http://schemas.openxmlformats.org/officeDocument/2006/docPropsVTypes"/>
</file>