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w:t>
      </w:r>
    </w:p>
    <w:p>
      <w:pPr>
        <w:spacing w:after="160"/>
        <w:jc w:val="left"/>
      </w:pPr>
      <w:r>
        <w:rPr>
          <w:rFonts w:ascii="Times New Roman" w:cs="Times New Roman" w:eastAsia="Times New Roman" w:hAnsi="Times New Roman"/>
          <w:sz w:val="24"/>
          <w:szCs w:val="24"/>
        </w:rPr>
        <w:t xml:space="preserve">Goods and Services Tax, [Division],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non-issuance of e-invoices despite the aggregate turnover exceeding the notified threshold.</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First verify the client’s PAN-level aggregate turnover in EACH FY from 2017-18 and the date e-invoicing became applicable to it (threshold chain: 500 Cr from 01.10.2020; 100 Cr from 01.01.2021; 50 Cr from 01.04.2021; 20 Cr from 01.04.2022; 10 Cr from 01.10.2022; 5 Cr from 01.08.2023). The threshold chain is settled — do NOT contest it; contest applicability/period.</w:t>
      </w:r>
    </w:p>
    <w:p>
      <w:pPr>
        <w:spacing w:after="80"/>
        <w:jc w:val="both"/>
      </w:pPr>
      <w:r>
        <w:rPr>
          <w:rFonts w:ascii="Times New Roman" w:cs="Times New Roman" w:eastAsia="Times New Roman" w:hAnsi="Times New Roman"/>
          <w:i/>
          <w:iCs/>
          <w:sz w:val="24"/>
          <w:szCs w:val="24"/>
        </w:rPr>
        <w:t xml:space="preserve">If genuinely below threshold in the relevant period — lead with that. If above — pivot to: (a) no prior nudge as contemplated by CBIC Instruction dated 18.10.2023; (b) only exempt categories supplied (SEZ unit, banking/insurance, GTA, passenger transport, cinema) with self-declaration under Rule 46(s); (c) no mens rea / minor breach (Section 126; Hindustan Steel v. State of Orissa).</w:t>
      </w:r>
    </w:p>
    <w:p>
      <w:pPr>
        <w:spacing w:after="80"/>
        <w:jc w:val="both"/>
      </w:pPr>
      <w:r>
        <w:rPr>
          <w:rFonts w:ascii="Times New Roman" w:cs="Times New Roman" w:eastAsia="Times New Roman" w:hAnsi="Times New Roman"/>
          <w:i/>
          <w:iCs/>
          <w:sz w:val="24"/>
          <w:szCs w:val="24"/>
        </w:rPr>
        <w:t xml:space="preserve">Pick ONE factual footing and delete the others. Consequences if mandatory and not issued: Rule 48(5) (invoice not treated as an invoice), recipient ITC exposure, penalty under Section 122 — keep these in view.</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requirement to issue e-invoices applies only to a registered person whose aggregate turnover in a financial year exceeds the threshold notified for the relevant period. The noticee did not fall within the applicable threshold for the period in question / made only supplies exempt from e-invoicing, and accordingly no e-invoice was required to be issued.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E-invoicing is threshold- and date-specific. </w:t>
      </w:r>
      <w:r>
        <w:rPr>
          <w:rFonts w:ascii="Times New Roman" w:cs="Times New Roman" w:eastAsia="Times New Roman" w:hAnsi="Times New Roman"/>
          <w:sz w:val="24"/>
          <w:szCs w:val="24"/>
        </w:rPr>
        <w:t xml:space="preserve">Rule 48(4) requires e-invoices only from such class of registered persons as the Government notifies. The threshold was progressively reduced — Rs. 500 crore with effect from 01.10.2020, Rs. 100 crore from 01.01.2021, Rs. 50 crore from 01.04.2021, Rs. 20 crore from 01.04.2022, Rs. 10 crore from 01.10.2022, and Rs. 5 crore from 01.08.2023 — by reference to the aggregate turnover in any preceding financial year from 2017-18. The obligation arises only once the applicable threshold is crossed.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noticee was not within the threshold for the period. </w:t>
      </w:r>
      <w:r>
        <w:rPr>
          <w:rFonts w:ascii="Times New Roman" w:cs="Times New Roman" w:eastAsia="Times New Roman" w:hAnsi="Times New Roman"/>
          <w:sz w:val="24"/>
          <w:szCs w:val="24"/>
        </w:rPr>
        <w:t xml:space="preserve">For the period covered by the notice, the noticee’s aggregate turnover did not exceed the threshold then in force, as the turnover statement annexed establishes. The obligation to issue e-invoices therefore did not arise. [If applicable: the supplies in question fall within the categories exempt from e-invoicing (such as supplies by a Special Economic Zone unit, banking/insurance, goods transport agency, passenger transport, or admission to cinema), and the noticee has made the self-declaration under Rule 46(s).]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prior intimation and no intent. </w:t>
      </w:r>
      <w:r>
        <w:rPr>
          <w:rFonts w:ascii="Times New Roman" w:cs="Times New Roman" w:eastAsia="Times New Roman" w:hAnsi="Times New Roman"/>
          <w:sz w:val="24"/>
          <w:szCs w:val="24"/>
        </w:rPr>
        <w:t xml:space="preserve">The Board, by its instruction dated 18.10.2023, directed field formations first to inform and nudge taxpayers regarding Rule 48(5) before penal action. No such intimation preceded the present notice. In any event, there was no intent to contravene; any breach is at most a minor, technical one within Section 126, attracting no penalty.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dropped, e-invoicing not being applicable to the noticee for the relevant period;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2026-06-15T09:00:43.761Z</dcterms:created>
  <dcterms:modified xsi:type="dcterms:W3CDTF">2026-06-15T09:00:43.761Z</dcterms:modified>
</cp:coreProperties>
</file>

<file path=docProps/custom.xml><?xml version="1.0" encoding="utf-8"?>
<Properties xmlns="http://schemas.openxmlformats.org/officeDocument/2006/custom-properties" xmlns:vt="http://schemas.openxmlformats.org/officeDocument/2006/docPropsVTypes"/>
</file>