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Assistant Commissioner,</w:t>
      </w:r>
    </w:p>
    <w:p>
      <w:pPr>
        <w:spacing w:after="160"/>
        <w:jc w:val="left"/>
      </w:pPr>
      <w:r>
        <w:rPr>
          <w:rFonts w:ascii="Times New Roman" w:cs="Times New Roman" w:eastAsia="Times New Roman" w:hAnsi="Times New Roman"/>
          <w:sz w:val="24"/>
          <w:szCs w:val="24"/>
        </w:rPr>
        <w:t xml:space="preserve">Goods and Services Tax, [Division], [State]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REG-17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REG-17 proposing cancellation of registration on the basis of a negative spot/field visit report that has not been furnished to the noticee.</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levers: (1) any report or material relied upon must be shared with the taxpayer to enable an effective reply; (2) a REG-17 that merely recites “negative spot visit report” without particulars is vague and unsustainable.</w:t>
      </w:r>
    </w:p>
    <w:p>
      <w:pPr>
        <w:spacing w:after="80"/>
        <w:jc w:val="both"/>
      </w:pPr>
      <w:r>
        <w:rPr>
          <w:rFonts w:ascii="Times New Roman" w:cs="Times New Roman" w:eastAsia="Times New Roman" w:hAnsi="Times New Roman"/>
          <w:i/>
          <w:iCs/>
          <w:sz w:val="24"/>
          <w:szCs w:val="24"/>
        </w:rPr>
        <w:t xml:space="preserve">Authority: Shah Industries through proprietor Vishal Hastimal Sakaria (Gujarat HC, SCA 5935/2022, 24.03.2022) — note the source’s “HAH Industries” is a transcription slip; the caption is “Shah Industries”. Aggarwal Dyeing &amp; Printing Works (Gujarat HC, SCA 18860/2021, 24.02.2022) — reasons are the heart and soul of the order.</w:t>
      </w:r>
    </w:p>
    <w:p>
      <w:pPr>
        <w:spacing w:after="80"/>
        <w:jc w:val="both"/>
      </w:pPr>
      <w:r>
        <w:rPr>
          <w:rFonts w:ascii="Times New Roman" w:cs="Times New Roman" w:eastAsia="Times New Roman" w:hAnsi="Times New Roman"/>
          <w:i/>
          <w:iCs/>
          <w:sz w:val="24"/>
          <w:szCs w:val="24"/>
        </w:rPr>
        <w:t xml:space="preserve">Request the visit report/panchnama and a fresh, particularised SCN with adequate time to reply.</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notice proposes cancellation solely on the basis of a negative spot/field visit report, which has not been furnished to the noticee. A show cause notice that relies on a report without disclosing it, and which states no material particulars, denies the noticee any meaningful opportunity to respond and is contrary to the principles of natural justice.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Material relied upon must be disclosed. </w:t>
      </w:r>
      <w:r>
        <w:rPr>
          <w:rFonts w:ascii="Times New Roman" w:cs="Times New Roman" w:eastAsia="Times New Roman" w:hAnsi="Times New Roman"/>
          <w:sz w:val="24"/>
          <w:szCs w:val="24"/>
        </w:rPr>
        <w:t xml:space="preserve">Where a notice is founded on a report or document, that report must be shared with the noticee to enable an effective reply. The noticee has not been furnished the spot/field visit report or any panchnama, and is therefore unable to meet the case. The report is sought to be supplied.</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vague REG-17 is unsustainable. </w:t>
      </w:r>
      <w:r>
        <w:rPr>
          <w:rFonts w:ascii="Times New Roman" w:cs="Times New Roman" w:eastAsia="Times New Roman" w:hAnsi="Times New Roman"/>
          <w:sz w:val="24"/>
          <w:szCs w:val="24"/>
        </w:rPr>
        <w:t xml:space="preserve">A notice that merely recites a “negative spot visit report”, without stating what was found, when, and how it bears on the registration, is bereft of material particulars. As held by the Gujarat High Court in Shah Industries (through proprietor Vishal Hastimal Sakaria) v. State of Gujarat (24.03.2022) and in Aggarwal Dyeing and Printing Works v. State of Gujarat (24.02.2022), such a vague notice, and any cryptic order founded upon it, cannot stand; reasons are the heart and soul of a quasi-judicial order.</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Business is genuine and ongoing. </w:t>
      </w:r>
      <w:r>
        <w:rPr>
          <w:rFonts w:ascii="Times New Roman" w:cs="Times New Roman" w:eastAsia="Times New Roman" w:hAnsi="Times New Roman"/>
          <w:sz w:val="24"/>
          <w:szCs w:val="24"/>
        </w:rPr>
        <w:t xml:space="preserve">The noticee carries on genuine business at its declared place of business, as the documents annexed (rent/ownership proof, utility bills, photographs, returns filed and tax paid) establish. Any adverse inference from a single visit, unshared and unparticularised, is unwarranted.</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spot/field visit report be furnished to the noticee, that the proposal for cancellation be dropped, and that the registration be not cancelled; and, in the alternative, that a fresh particularised notice be issued with adequate time to reply.</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2026-06-15T09:00:43.790Z</dcterms:created>
  <dcterms:modified xsi:type="dcterms:W3CDTF">2026-06-15T09:00:43.790Z</dcterms:modified>
</cp:coreProperties>
</file>

<file path=docProps/custom.xml><?xml version="1.0" encoding="utf-8"?>
<Properties xmlns="http://schemas.openxmlformats.org/officeDocument/2006/custom-properties" xmlns:vt="http://schemas.openxmlformats.org/officeDocument/2006/docPropsVTypes"/>
</file>