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alleging input tax credit availed in Form GSTR-3B in excess of the tolerance permitted by Rule 36(4) over Form GSTR-2A, for periods from 09.10.2019.</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Honest note: this is the harder case — availment beyond the permitted tolerance. Where genuinely beyond the cap and not regularised, the excess limb is weak; push the verifiable defences and concede where appropriate.</w:t>
      </w:r>
    </w:p>
    <w:p>
      <w:pPr>
        <w:spacing w:after="80"/>
        <w:jc w:val="both"/>
      </w:pPr>
      <w:r>
        <w:rPr>
          <w:rFonts w:ascii="Times New Roman" w:cs="Times New Roman" w:eastAsia="Times New Roman" w:hAnsi="Times New Roman"/>
          <w:i/>
          <w:iCs/>
          <w:sz w:val="24"/>
          <w:szCs w:val="24"/>
        </w:rPr>
        <w:t xml:space="preserve">Defences in order of strength: (1) the supplier subsequently uploaded the invoices, so the credit appeared in a later GSTR-2A/2B — a timing difference, not an ineligible claim; (2) verification under Circular 183/15/2022-GST and Circular 193/05/2023-GST (supplier certificate ≤ Rs.5 lakh per supplier; CA/CMA certificate with UDIN &gt; Rs.5 lakh); (3) bona fide recipient — Section 16(2) conditions met, supplier has paid (Suncraft Energy line); (4) Section 16(5) if the time-bar is in issue.</w:t>
      </w:r>
    </w:p>
    <w:p>
      <w:pPr>
        <w:spacing w:after="80"/>
        <w:jc w:val="both"/>
      </w:pPr>
      <w:r>
        <w:rPr>
          <w:rFonts w:ascii="Times New Roman" w:cs="Times New Roman" w:eastAsia="Times New Roman" w:hAnsi="Times New Roman"/>
          <w:i/>
          <w:iCs/>
          <w:sz w:val="24"/>
          <w:szCs w:val="24"/>
        </w:rPr>
        <w:t xml:space="preserve">Annex the supplier-wise reconciliation, the subsequent GSTR-2A/2B, and the certificates. State plainly which invoices stand regularised and which are sought to be verified.</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difference between the input tax credit availed and that reflected in Form GSTR-2A for the period arises principally because certain suppliers uploaded their invoices belatedly, so that the credit appeared in a subsequent Form GSTR-2A/2B. The credit is genuine, supported by valid invoices and receipt of supplies, and the conditions of Section 16(2) are satisfied. The difference is, to that extent, one of timing and is capable of verification under the Board’s circulars.</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Belated upload by suppliers — a timing difference. </w:t>
      </w:r>
      <w:r>
        <w:rPr>
          <w:rFonts w:ascii="Times New Roman" w:cs="Times New Roman" w:eastAsia="Times New Roman" w:hAnsi="Times New Roman"/>
          <w:sz w:val="24"/>
          <w:szCs w:val="24"/>
        </w:rPr>
        <w:t xml:space="preserve">Where a supplier uploads its invoices after the due date, the corresponding credit appears in a later Form GSTR-2A/2B. The annexed supplier-wise reconciliation identifies such invoices and the month in which they were subsequently reflected; to that extent the difference is one of timing and not of eligibility.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Verification under Circulars 183 and 193. </w:t>
      </w:r>
      <w:r>
        <w:rPr>
          <w:rFonts w:ascii="Times New Roman" w:cs="Times New Roman" w:eastAsia="Times New Roman" w:hAnsi="Times New Roman"/>
          <w:sz w:val="24"/>
          <w:szCs w:val="24"/>
        </w:rPr>
        <w:t xml:space="preserve">For differences between Form GSTR-3B and Form GSTR-2A, Circular 183/15/2022-GST (for FY 2017-18 and 2018-19) and Circular 193/05/2023-GST (for 01.04.2019 to 31.12.2021) prescribe verification through a supplier’s declaration where the difference per supplier does not exceed Rs. 5 lakh, and a certificate of a Chartered Accountant/Cost Accountant with UDIN where it exceeds Rs. 5 lakh. The noticee furnishes / undertakes to furnish the requisite declarations and certificates.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Bona fide recipient. </w:t>
      </w:r>
      <w:r>
        <w:rPr>
          <w:rFonts w:ascii="Times New Roman" w:cs="Times New Roman" w:eastAsia="Times New Roman" w:hAnsi="Times New Roman"/>
          <w:sz w:val="24"/>
          <w:szCs w:val="24"/>
        </w:rPr>
        <w:t xml:space="preserve">The noticee holds valid tax invoices, has received the supplies and has paid the suppliers including tax; the conditions of Section 16(2) are satisfied. Where the supplier has discharged the tax, the recipient’s credit is not to be reversed without first proceeding against the supplier, as held by the Calcutta High Court in Suncraft Energy Pvt. Ltd.</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Limitation, if in issue. </w:t>
      </w:r>
      <w:r>
        <w:rPr>
          <w:rFonts w:ascii="Times New Roman" w:cs="Times New Roman" w:eastAsia="Times New Roman" w:hAnsi="Times New Roman"/>
          <w:sz w:val="24"/>
          <w:szCs w:val="24"/>
        </w:rPr>
        <w:t xml:space="preserve">To the extent any part of the credit relates to FY 2017-18 to 2020-21 and is sought to be denied on the ground of the time limit in Section 16(4), the bar is lifted by Section 16(5) for credit taken in returns filed up to 30 November 2021.</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credit be allowed to the extent reconciled and verified under the Board’s circulars, and that the proceedings be dropped accordingly;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2026-06-15T11:35:19.853Z</dcterms:created>
  <dcterms:modified xsi:type="dcterms:W3CDTF">2026-06-15T11:35:19.853Z</dcterms:modified>
</cp:coreProperties>
</file>

<file path=docProps/custom.xml><?xml version="1.0" encoding="utf-8"?>
<Properties xmlns="http://schemas.openxmlformats.org/officeDocument/2006/custom-properties" xmlns:vt="http://schemas.openxmlformats.org/officeDocument/2006/docPropsVTypes"/>
</file>