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left"/>
      </w:pPr>
      <w:r>
        <w:rPr>
          <w:rFonts w:ascii="Times New Roman" w:cs="Times New Roman" w:eastAsia="Times New Roman" w:hAnsi="Times New Roman"/>
          <w:sz w:val="24"/>
          <w:szCs w:val="24"/>
        </w:rPr>
        <w:t xml:space="preserve">To,</w:t>
      </w:r>
    </w:p>
    <w:p>
      <w:pPr>
        <w:spacing w:after="20"/>
        <w:jc w:val="left"/>
      </w:pPr>
      <w:r>
        <w:rPr>
          <w:rFonts w:ascii="Times New Roman" w:cs="Times New Roman" w:eastAsia="Times New Roman" w:hAnsi="Times New Roman"/>
          <w:sz w:val="24"/>
          <w:szCs w:val="24"/>
        </w:rPr>
        <w:t xml:space="preserve">The State Tax Officer,</w:t>
      </w:r>
    </w:p>
    <w:p>
      <w:pPr>
        <w:spacing w:after="160"/>
        <w:jc w:val="left"/>
      </w:pPr>
      <w:r>
        <w:rPr>
          <w:rFonts w:ascii="Times New Roman" w:cs="Times New Roman" w:eastAsia="Times New Roman" w:hAnsi="Times New Roman"/>
          <w:sz w:val="24"/>
          <w:szCs w:val="24"/>
        </w:rPr>
        <w:t xml:space="preserve">Goods and Services Tax, Bikaner, Rajasthan</w:t>
      </w:r>
    </w:p>
    <w:p>
      <w:pPr>
        <w:spacing w:after="20"/>
        <w:jc w:val="left"/>
      </w:pPr>
      <w:r>
        <w:rPr>
          <w:rFonts w:ascii="Times New Roman" w:cs="Times New Roman" w:eastAsia="Times New Roman" w:hAnsi="Times New Roman"/>
          <w:sz w:val="24"/>
          <w:szCs w:val="24"/>
        </w:rPr>
        <w:t xml:space="preserve">GSTIN: ____________________</w:t>
      </w:r>
    </w:p>
    <w:p>
      <w:pPr>
        <w:spacing w:after="20"/>
        <w:jc w:val="left"/>
      </w:pPr>
      <w:r>
        <w:rPr>
          <w:rFonts w:ascii="Times New Roman" w:cs="Times New Roman" w:eastAsia="Times New Roman" w:hAnsi="Times New Roman"/>
          <w:sz w:val="24"/>
          <w:szCs w:val="24"/>
        </w:rPr>
        <w:t xml:space="preserve">Trade Name: M/s Notice Desk Private Limited</w:t>
      </w:r>
    </w:p>
    <w:p>
      <w:pPr>
        <w:spacing w:after="160"/>
        <w:jc w:val="left"/>
      </w:pPr>
      <w:r>
        <w:rPr>
          <w:rFonts w:ascii="Times New Roman" w:cs="Times New Roman" w:eastAsia="Times New Roman" w:hAnsi="Times New Roman"/>
          <w:sz w:val="24"/>
          <w:szCs w:val="24"/>
        </w:rPr>
        <w:t xml:space="preserve">Reference (SCN, Form DRC-01 / ASMT-10) No.: ____________  dated __________</w:t>
      </w:r>
    </w:p>
    <w:p>
      <w:pPr>
        <w:spacing w:after="120"/>
        <w:jc w:val="left"/>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Reply to the Show Cause Notice alleging short payment of tax on the basis that the value of TDS reported by the deductor in Form GSTR-7 exceeds the outward supply declared by the noticee in Form GSTR-3B.</w:t>
      </w:r>
    </w:p>
    <w:p>
      <w:pPr>
        <w:pBdr>
          <w:top w:val="single" w:color="888888" w:sz="4" w:space="4"/>
          <w:bottom w:val="single" w:color="888888" w:sz="4" w:space="4"/>
        </w:pBdr>
        <w:spacing w:after="60" w:before="80"/>
      </w:pPr>
      <w:r>
        <w:rPr>
          <w:rFonts w:ascii="Times New Roman" w:cs="Times New Roman" w:eastAsia="Times New Roman" w:hAnsi="Times New Roman"/>
          <w:i/>
          <w:iCs/>
          <w:sz w:val="24"/>
          <w:szCs w:val="24"/>
        </w:rPr>
        <w:t xml:space="preserve">Drafting note (remove before filing). </w:t>
      </w:r>
    </w:p>
    <w:p>
      <w:pPr>
        <w:spacing w:after="80"/>
        <w:jc w:val="both"/>
      </w:pPr>
      <w:r>
        <w:rPr>
          <w:rFonts w:ascii="Times New Roman" w:cs="Times New Roman" w:eastAsia="Times New Roman" w:hAnsi="Times New Roman"/>
          <w:i/>
          <w:iCs/>
          <w:sz w:val="24"/>
          <w:szCs w:val="24"/>
        </w:rPr>
        <w:t xml:space="preserve">Core levers: (1) GST is payable by reference to the TIME OF SUPPLY (Section 13), whereas the deductor’s Form GSTR-7 reflects the timing of the deductor’s payment — which may include advances, earlier-period bills or amounts not yet taxable; (2) a demand cannot rest solely on a GSTR-7-vs-GSTR-3B difference without independent evidence of suppression; reconciliation is the answer.</w:t>
      </w:r>
    </w:p>
    <w:p>
      <w:pPr>
        <w:spacing w:after="80"/>
        <w:jc w:val="both"/>
      </w:pPr>
      <w:r>
        <w:rPr>
          <w:rFonts w:ascii="Times New Roman" w:cs="Times New Roman" w:eastAsia="Times New Roman" w:hAnsi="Times New Roman"/>
          <w:i/>
          <w:iCs/>
          <w:sz w:val="24"/>
          <w:szCs w:val="24"/>
        </w:rPr>
        <w:t xml:space="preserve">Authority (corrected/added per verification): Xiaomi Technology India [2024] 169 taxmann.com 24 (Delhi) — Section 74 needs an allegation of fraud/wilful misstatement/suppression, not a bare mismatch; M/s ITI Ltd. v. Union of India, 2026 TAXSCAN (HC) 504 (Gauhati HC, Kohima Bench, 20.03.2026) — a return mismatch cannot be mechanically treated as self-assessed tax without reconciliation and opportunity; M/s Sterling &amp; Wilson, 2026 TAXSCAN (GSTAT) 106 (11.02.2026) — mismatch requires reconciliation, not automatic short-payment.</w:t>
      </w:r>
    </w:p>
    <w:p>
      <w:pPr>
        <w:spacing w:after="80"/>
        <w:jc w:val="both"/>
      </w:pPr>
      <w:r>
        <w:rPr>
          <w:rFonts w:ascii="Times New Roman" w:cs="Times New Roman" w:eastAsia="Times New Roman" w:hAnsi="Times New Roman"/>
          <w:i/>
          <w:iCs/>
          <w:sz w:val="24"/>
          <w:szCs w:val="24"/>
        </w:rPr>
        <w:t xml:space="preserve">Annex the reconciliation of the contract running-account / invoices with the GSTR-7 entries.</w:t>
      </w:r>
    </w:p>
    <w:p>
      <w:pPr>
        <w:spacing w:after="80"/>
      </w:pPr>
      <w:r>
        <w:rPr>
          <w:rFonts w:ascii="Times New Roman" w:cs="Times New Roman" w:eastAsia="Times New Roman" w:hAnsi="Times New Roman"/>
          <w:sz w:val="24"/>
          <w:szCs w:val="24"/>
        </w:rPr>
        <w:t xml:space="preserve"/>
      </w:r>
    </w:p>
    <w:p>
      <w:pPr>
        <w:spacing w:after="120" w:before="160"/>
        <w:jc w:val="left"/>
      </w:pPr>
      <w:r>
        <w:rPr>
          <w:rFonts w:ascii="Times New Roman" w:cs="Times New Roman" w:eastAsia="Times New Roman" w:hAnsi="Times New Roman"/>
          <w:b/>
          <w:bCs/>
          <w:sz w:val="24"/>
          <w:szCs w:val="24"/>
        </w:rPr>
        <w:t xml:space="preserve">Synopsis</w:t>
      </w:r>
    </w:p>
    <w:p>
      <w:pPr>
        <w:spacing w:after="160" w:line="276"/>
        <w:jc w:val="both"/>
      </w:pPr>
      <w:r>
        <w:rPr>
          <w:rFonts w:ascii="Times New Roman" w:cs="Times New Roman" w:eastAsia="Times New Roman" w:hAnsi="Times New Roman"/>
          <w:sz w:val="24"/>
          <w:szCs w:val="24"/>
        </w:rPr>
        <w:t xml:space="preserve">The notice equates the value of tax deducted at source as reported by the deductor in Form GSTR-7 with the noticee’s taxable outward supply, and infers a short payment from the difference. The inference is unsound. The liability to pay tax arises by reference to the time of supply, whereas the deductor’s Form GSTR-7 reflects the timing and amount of the deductor’s payments, which need not coincide with the noticee’s taxable turnover for the period. A difference between the two forms, without more, does not establish any short payment.</w:t>
      </w:r>
    </w:p>
    <w:p>
      <w:pPr>
        <w:spacing w:after="120" w:before="160"/>
        <w:jc w:val="left"/>
      </w:pPr>
      <w:r>
        <w:rPr>
          <w:rFonts w:ascii="Times New Roman" w:cs="Times New Roman" w:eastAsia="Times New Roman" w:hAnsi="Times New Roman"/>
          <w:b/>
          <w:bCs/>
          <w:sz w:val="24"/>
          <w:szCs w:val="24"/>
        </w:rPr>
        <w:t xml:space="preserve">Submissions</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Tax is payable by reference to the time of supply. </w:t>
      </w:r>
      <w:r>
        <w:rPr>
          <w:rFonts w:ascii="Times New Roman" w:cs="Times New Roman" w:eastAsia="Times New Roman" w:hAnsi="Times New Roman"/>
          <w:sz w:val="24"/>
          <w:szCs w:val="24"/>
        </w:rPr>
        <w:t xml:space="preserve">Under Section 13, the liability to pay tax on services arises at the time of supply, determined by the earliest of the date of the invoice (if issued within the prescribed period) or the date of receipt of payment. The noticee has discharged tax in accordance with the time of supply, as reflected in its Form GSTR-1 and Form GSTR-3B.</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Form GSTR-7 follows the deductor’s payments, not the noticee’s turnover. </w:t>
      </w:r>
      <w:r>
        <w:rPr>
          <w:rFonts w:ascii="Times New Roman" w:cs="Times New Roman" w:eastAsia="Times New Roman" w:hAnsi="Times New Roman"/>
          <w:sz w:val="24"/>
          <w:szCs w:val="24"/>
        </w:rPr>
        <w:t xml:space="preserve">Tax deducted at source under Section 51 is deducted by the deductor when it makes or credits payment to the supplier. The value reported in the deductor’s Form GSTR-7 may therefore include advances, payments against earlier-period bills, or amounts not yet taxable in the noticee’s hands. It is not a measure of the noticee’s taxable supply for the month, and a difference between Form GSTR-7 and Form GSTR-3B does not, by itself, evidence a short payment.</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A demand cannot rest on a mere mismatch. </w:t>
      </w:r>
      <w:r>
        <w:rPr>
          <w:rFonts w:ascii="Times New Roman" w:cs="Times New Roman" w:eastAsia="Times New Roman" w:hAnsi="Times New Roman"/>
          <w:sz w:val="24"/>
          <w:szCs w:val="24"/>
        </w:rPr>
        <w:t xml:space="preserve">It is settled that a demand cannot be founded merely on a difference between returns without independent material establishing suppression. The Delhi High Court in Xiaomi Technology India Pvt. Ltd. held that Section 74 cannot be invoked on a bare mismatch absent an allegation of fraud, wilful misstatement or suppression; the Gauhati High Court in M/s ITI Ltd. v. Union of India (20.03.2026) held that a return mismatch cannot be mechanically treated as self-assessed tax without reconciliation and an opportunity to explain; and the GST Appellate Tribunal in M/s Sterling &amp; Wilson Pvt. Ltd. (11.02.2026) held that such mismatches require reconciliation and do not automatically imply short payment.</w:t>
      </w:r>
      <w:r>
        <w:rPr>
          <w:rFonts w:ascii="Times New Roman" w:cs="Times New Roman" w:eastAsia="Times New Roman" w:hAnsi="Times New Roman"/>
          <w:b/>
          <w:bCs/>
          <w:sz w:val="24"/>
          <w:szCs w:val="24"/>
        </w:rPr>
        <w:t xml:space="preserve"> [VERIFY]</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Reconciliation furnished. </w:t>
      </w:r>
      <w:r>
        <w:rPr>
          <w:rFonts w:ascii="Times New Roman" w:cs="Times New Roman" w:eastAsia="Times New Roman" w:hAnsi="Times New Roman"/>
          <w:sz w:val="24"/>
          <w:szCs w:val="24"/>
        </w:rPr>
        <w:t xml:space="preserve">The annexed reconciliation ties the noticee’s outward supplies and tax paid to the deductor’s Form GSTR-7 entries, accounting for advances and timing, and demonstrates that there is no short payment.</w:t>
      </w:r>
    </w:p>
    <w:p>
      <w:pPr>
        <w:spacing w:after="120" w:before="160"/>
        <w:jc w:val="left"/>
      </w:pPr>
      <w:r>
        <w:rPr>
          <w:rFonts w:ascii="Times New Roman" w:cs="Times New Roman" w:eastAsia="Times New Roman" w:hAnsi="Times New Roman"/>
          <w:b/>
          <w:bCs/>
          <w:sz w:val="24"/>
          <w:szCs w:val="24"/>
        </w:rPr>
        <w:t xml:space="preserve">Prayer</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It is respectfully prayed that the proceedings be dropped, the difference between Form GSTR-7 and Form GSTR-3B being explained by the timing of the deductor’s payments and disclosing no short payment; and that an opportunity of personal hearing be granted before any adverse order.</w:t>
      </w:r>
    </w:p>
    <w:p>
      <w:pPr>
        <w:spacing w:after="20" w:before="240"/>
      </w:pPr>
      <w:r>
        <w:rPr>
          <w:rFonts w:ascii="Times New Roman" w:cs="Times New Roman" w:eastAsia="Times New Roman" w:hAnsi="Times New Roman"/>
          <w:sz w:val="24"/>
          <w:szCs w:val="24"/>
        </w:rPr>
        <w:t xml:space="preserve">Yours faithfully,</w:t>
      </w:r>
    </w:p>
    <w:p>
      <w:pPr>
        <w:spacing w:after="20"/>
      </w:pPr>
      <w:r>
        <w:rPr>
          <w:rFonts w:ascii="Times New Roman" w:cs="Times New Roman" w:eastAsia="Times New Roman" w:hAnsi="Times New Roman"/>
          <w:b/>
          <w:bCs/>
          <w:sz w:val="24"/>
          <w:szCs w:val="24"/>
        </w:rPr>
        <w:t xml:space="preserve">For M/s Notice Desk Private Limited</w:t>
      </w:r>
    </w:p>
    <w:p>
      <w:pPr>
        <w:spacing w:after="20" w:before="320"/>
      </w:pPr>
      <w:r>
        <w:rPr>
          <w:rFonts w:ascii="Times New Roman" w:cs="Times New Roman" w:eastAsia="Times New Roman" w:hAnsi="Times New Roman"/>
          <w:sz w:val="24"/>
          <w:szCs w:val="24"/>
        </w:rPr>
        <w:t xml:space="preserve">_______________________________</w:t>
      </w:r>
    </w:p>
    <w:p>
      <w:pPr>
        <w:spacing w:after="20"/>
      </w:pPr>
      <w:r>
        <w:rPr>
          <w:rFonts w:ascii="Times New Roman" w:cs="Times New Roman" w:eastAsia="Times New Roman" w:hAnsi="Times New Roman"/>
          <w:sz w:val="24"/>
          <w:szCs w:val="24"/>
        </w:rPr>
        <w:t xml:space="preserve">Authorised Signatory / Director</w:t>
      </w:r>
    </w:p>
    <w:p>
      <w:pPr>
        <w:spacing w:after="20"/>
      </w:pPr>
      <w:r>
        <w:rPr>
          <w:rFonts w:ascii="Times New Roman" w:cs="Times New Roman" w:eastAsia="Times New Roman" w:hAnsi="Times New Roman"/>
          <w:sz w:val="24"/>
          <w:szCs w:val="24"/>
        </w:rPr>
        <w:t xml:space="preserve">Place: Nasik</w:t>
      </w:r>
    </w:p>
    <w:p>
      <w:pPr>
        <w:spacing w:after="20"/>
      </w:pPr>
      <w:r>
        <w:rPr>
          <w:rFonts w:ascii="Times New Roman" w:cs="Times New Roman" w:eastAsia="Times New Roman" w:hAnsi="Times New Roman"/>
          <w:sz w:val="24"/>
          <w:szCs w:val="24"/>
        </w:rPr>
        <w:t xml:space="preserve">Date: 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lvl>
  </w:abstractNum>
  <w:abstractNum w:abstractNumId="3" w15:restartNumberingAfterBreak="0">
    <w:multiLevelType w:val="hybridMultilevel"/>
    <w:lvl w:ilvl="0" w15:tentative="1">
      <w:start w:val="1"/>
      <w:numFmt w:val="decimal"/>
      <w:lvlText w:val="%1."/>
      <w:lvlJc w:val="left"/>
      <w:pPr>
        <w:ind w:left="600" w:hanging="360"/>
      </w:pPr>
    </w:lvl>
  </w:abstractNum>
  <w:abstractNum w:abstractNumId="4"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2026-06-15T11:35:19.893Z</dcterms:created>
  <dcterms:modified xsi:type="dcterms:W3CDTF">2026-06-15T11:35:19.893Z</dcterms:modified>
</cp:coreProperties>
</file>

<file path=docProps/custom.xml><?xml version="1.0" encoding="utf-8"?>
<Properties xmlns="http://schemas.openxmlformats.org/officeDocument/2006/custom-properties" xmlns:vt="http://schemas.openxmlformats.org/officeDocument/2006/docPropsVTypes"/>
</file>