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Form REG-17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REG-17 proposing cancellation of registration under Section 29(2)(c) for non-furnishing of returns, where the noticee has in fact filed nil returns.</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Section 29(2)(c) applies only where NO return has been furnished for a continuous period of six months. Filing a NIL return IS ‘furnishing a return’ — so the ground is not attracted where nil returns were filed.</w:t>
      </w:r>
    </w:p>
    <w:p>
      <w:pPr>
        <w:spacing w:after="80"/>
        <w:jc w:val="both"/>
      </w:pPr>
      <w:r>
        <w:rPr>
          <w:rFonts w:ascii="Times New Roman" w:cs="Times New Roman" w:eastAsia="Times New Roman" w:hAnsi="Times New Roman"/>
          <w:i/>
          <w:iCs/>
          <w:sz w:val="24"/>
          <w:szCs w:val="24"/>
        </w:rPr>
        <w:t xml:space="preserve">Authority: Kali Shankar Enterprises v. Additional Commissioner [2024] 158 taxmann.com 190 (Andhra Pradesh HC) — cancellation for continuous nil returns is without jurisdiction and not covered by Section 29 or Rule 22. Also the proviso to Rule 22(4): filing pending returns + paying dues leads to dropping the proceedings (REG-20).</w:t>
      </w:r>
    </w:p>
    <w:p>
      <w:pPr>
        <w:spacing w:after="80"/>
        <w:jc w:val="both"/>
      </w:pPr>
      <w:r>
        <w:rPr>
          <w:rFonts w:ascii="Times New Roman" w:cs="Times New Roman" w:eastAsia="Times New Roman" w:hAnsi="Times New Roman"/>
          <w:i/>
          <w:iCs/>
          <w:sz w:val="24"/>
          <w:szCs w:val="24"/>
        </w:rPr>
        <w:t xml:space="preserve">Annex the acknowledgements of the nil returns filed for the relevant period.</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notice proposes cancellation under Section 29(2)(c) on the footing that returns have not been furnished for a continuous period of six months. The premise is factually wrong: the noticee filed its returns for the relevant period, albeit as nil returns. The filing of a nil return is the furnishing of a return; the ground in Section 29(2)(c) — which is attracted only where no return is furnished — therefore does not arise.</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Section 29(2)(c) requires non-furnishing of returns. </w:t>
      </w:r>
      <w:r>
        <w:rPr>
          <w:rFonts w:ascii="Times New Roman" w:cs="Times New Roman" w:eastAsia="Times New Roman" w:hAnsi="Times New Roman"/>
          <w:sz w:val="24"/>
          <w:szCs w:val="24"/>
        </w:rPr>
        <w:t xml:space="preserve">Section 29(2)(c) permits cancellation where a registered person, other than a composition taxpayer, ‘has not furnished returns for a continuous period of six months’. The provision is attracted only where the returns have not been furnished at all.</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nil return is a return furnished. </w:t>
      </w:r>
      <w:r>
        <w:rPr>
          <w:rFonts w:ascii="Times New Roman" w:cs="Times New Roman" w:eastAsia="Times New Roman" w:hAnsi="Times New Roman"/>
          <w:sz w:val="24"/>
          <w:szCs w:val="24"/>
        </w:rPr>
        <w:t xml:space="preserve">A nil return is a return filed under Section 39; its furnishing discharges the obligation to file the return for that period. The noticee having filed its returns (as nil returns) for the period in question, as the annexed acknowledgements establish, there is no non-furnishing, and Section 29(2)(c) is not attracted. Reliance is placed on Kali Shankar Enterprises v. Additional Commissioner (Andhra Pradesh High Court), holding that cancellation on the ground of continuous nil returns is without jurisdiction.</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Dropping of proceedings in any event. </w:t>
      </w:r>
      <w:r>
        <w:rPr>
          <w:rFonts w:ascii="Times New Roman" w:cs="Times New Roman" w:eastAsia="Times New Roman" w:hAnsi="Times New Roman"/>
          <w:sz w:val="24"/>
          <w:szCs w:val="24"/>
        </w:rPr>
        <w:t xml:space="preserve">Further and without prejudice, under the proviso to Rule 22(4), where the noticee furnishes the pending returns (if any) and pays the dues with interest and late fee, the proceedings are to be dropped by an order in Form GST REG-20.</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proposal for cancellation be dropped and the proceedings be closed by an order in Form GST REG-20, the noticee having furnished its returns for the relevant period; and that the registration be not cancelled.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2026-06-15T11:35:20.136Z</dcterms:created>
  <dcterms:modified xsi:type="dcterms:W3CDTF">2026-06-15T11:35:20.136Z</dcterms:modified>
</cp:coreProperties>
</file>

<file path=docProps/custom.xml><?xml version="1.0" encoding="utf-8"?>
<Properties xmlns="http://schemas.openxmlformats.org/officeDocument/2006/custom-properties" xmlns:vt="http://schemas.openxmlformats.org/officeDocument/2006/docPropsVTypes"/>
</file>