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REG-17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REG-17 proposing cancellation of registration under Section 29(2)(e), alleging that registration was obtained by fraud, wilful misstatement or suppression of facts, without any particulars or supporting material.</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levers: (1) a REG-17 merely reciting Section 29(2)(e) and alleging fraud/wilful misstatement/suppression, without disclosing the constituting facts, is vague and violates natural justice; (2) any material relied upon must be shared.</w:t>
      </w:r>
    </w:p>
    <w:p>
      <w:pPr>
        <w:spacing w:after="80"/>
        <w:jc w:val="both"/>
      </w:pPr>
      <w:r>
        <w:rPr>
          <w:rFonts w:ascii="Times New Roman" w:cs="Times New Roman" w:eastAsia="Times New Roman" w:hAnsi="Times New Roman"/>
          <w:i/>
          <w:iCs/>
          <w:sz w:val="24"/>
          <w:szCs w:val="24"/>
        </w:rPr>
        <w:t xml:space="preserve">Authority (corrected): Shree Dakornath Scrap Traders v. State of Gujarat — judgment date is 13.04.2022 (NOT 24.03.2022); the SCA number “5984/2022” is UNVERIFIED — confirm against the certified cause-title before filing or omit the number; Aggarwal Dyeing &amp; Printing Works (Gujarat HC, SCA 18860/2021, 24.02.2022); and Saurabh Sahu v. State of Maharashtra [2025] 176 taxmann.com 87 (Bombay) — quoting s.29(2)(e) without constituting facts is vague.</w:t>
      </w:r>
    </w:p>
    <w:p>
      <w:pPr>
        <w:spacing w:after="80"/>
        <w:jc w:val="both"/>
      </w:pPr>
      <w:r>
        <w:rPr>
          <w:rFonts w:ascii="Times New Roman" w:cs="Times New Roman" w:eastAsia="Times New Roman" w:hAnsi="Times New Roman"/>
          <w:i/>
          <w:iCs/>
          <w:sz w:val="24"/>
          <w:szCs w:val="24"/>
        </w:rPr>
        <w:t xml:space="preserve">Request the supporting material and a fresh, particularised SCN with adequate time to reply.</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 proposes cancellation on the ground that registration was obtained by fraud, wilful misstatement or suppression of facts, but states nothing about how or why that is alleged, and discloses no supporting material. A notice that merely reproduces the language of Section 29(2)(e), without the facts constituting the alleged fraud, is vague and denies the noticee any meaningful opportunity to respond.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notice is vague and bereft of particulars. </w:t>
      </w:r>
      <w:r>
        <w:rPr>
          <w:rFonts w:ascii="Times New Roman" w:cs="Times New Roman" w:eastAsia="Times New Roman" w:hAnsi="Times New Roman"/>
          <w:sz w:val="24"/>
          <w:szCs w:val="24"/>
        </w:rPr>
        <w:t xml:space="preserve">To allege that registration was obtained by fraud, wilful misstatement or suppression of facts is to make a serious charge that must be particularised — what was misstated or suppressed, when, and how it bears on the registration. The impugned notice states none of this; it merely reproduces Section 29(2)(e). The noticee is left unable to meet a case that has not been disclosed.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Material relied upon must be shared. </w:t>
      </w:r>
      <w:r>
        <w:rPr>
          <w:rFonts w:ascii="Times New Roman" w:cs="Times New Roman" w:eastAsia="Times New Roman" w:hAnsi="Times New Roman"/>
          <w:sz w:val="24"/>
          <w:szCs w:val="24"/>
        </w:rPr>
        <w:t xml:space="preserve">Where the allegation rests on any material, that material must be furnished to the noticee to enable an effective reply. No such material has been shared. The noticee seeks it.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vague cancellation notice is unsustainable. </w:t>
      </w:r>
      <w:r>
        <w:rPr>
          <w:rFonts w:ascii="Times New Roman" w:cs="Times New Roman" w:eastAsia="Times New Roman" w:hAnsi="Times New Roman"/>
          <w:sz w:val="24"/>
          <w:szCs w:val="24"/>
        </w:rPr>
        <w:t xml:space="preserve">As held by the Gujarat High Court in Shree Dakornath Scrap Traders v. State of Gujarat (13.04.2022) and in Aggarwal Dyeing and Printing Works v. State of Gujarat (24.02.2022), and by the Bombay High Court in Saurabh Sahu v. State of Maharashtra, a show cause notice that is bereft of material particulars, or that merely quotes Section 29(2)(e) without disclosing the constituting facts, violates the principles of natural justice and cannot be sustained.</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Genuineness of registration. </w:t>
      </w:r>
      <w:r>
        <w:rPr>
          <w:rFonts w:ascii="Times New Roman" w:cs="Times New Roman" w:eastAsia="Times New Roman" w:hAnsi="Times New Roman"/>
          <w:sz w:val="24"/>
          <w:szCs w:val="24"/>
        </w:rPr>
        <w:t xml:space="preserve">The registration was obtained on the basis of true and correct particulars and supporting documents, and the noticee carries on genuine business at its declared place of business. There is no fraud, wilful misstatement or suppression.</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supporting material be furnished, that the proposal for cancellation be dropped, and that the registration be not cancelled; and, in the alternative, that a fresh particularised notice be issued with adequate time to reply.</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2026-06-15T11:35:20.168Z</dcterms:created>
  <dcterms:modified xsi:type="dcterms:W3CDTF">2026-06-15T11:35:20.168Z</dcterms:modified>
</cp:coreProperties>
</file>

<file path=docProps/custom.xml><?xml version="1.0" encoding="utf-8"?>
<Properties xmlns="http://schemas.openxmlformats.org/officeDocument/2006/custom-properties" xmlns:vt="http://schemas.openxmlformats.org/officeDocument/2006/docPropsVTypes"/>
</file>