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Appellate Authority,</w:t>
      </w:r>
    </w:p>
    <w:p>
      <w:pPr>
        <w:spacing w:after="160"/>
        <w:jc w:val="left"/>
      </w:pPr>
      <w:r>
        <w:rPr>
          <w:rFonts w:ascii="Times New Roman" w:cs="Times New Roman" w:eastAsia="Times New Roman" w:hAnsi="Times New Roman"/>
          <w:sz w:val="24"/>
          <w:szCs w:val="24"/>
        </w:rPr>
        <w:t xml:space="preserve">Goods and Services Tax, Jaipur,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Appeal No. /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observation/clarification proposing rejection of the appeal on the ground that the pre-deposit under Section 107(6) was paid through the Electronic Credit Ledger instead of the Electronic Cash Ledger.</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Position is now strongly settled in the taxpayer’s favour: the 10% pre-deposit under Section 107(6) MAY be paid by utilising the Electronic Credit Ledger.</w:t>
      </w:r>
    </w:p>
    <w:p>
      <w:pPr>
        <w:spacing w:after="80"/>
        <w:jc w:val="both"/>
      </w:pPr>
      <w:r>
        <w:rPr>
          <w:rFonts w:ascii="Times New Roman" w:cs="Times New Roman" w:eastAsia="Times New Roman" w:hAnsi="Times New Roman"/>
          <w:i/>
          <w:iCs/>
          <w:sz w:val="24"/>
          <w:szCs w:val="24"/>
        </w:rPr>
        <w:t xml:space="preserve">Authority: CBIC Circular 172/04/2022-GST dated 06.07.2022, Serial 6 — any amount towards output tax, including the pre-deposit payable as a consequence of any proceeding, may be paid by utilising the credit ledger; Oasis Realty (Bombay HC, 16.09.2022) — ‘paid’, not ‘deposited’, so the credit ledger may be used. Reinforced by Yasho Industries (Gujarat HC), where the Supreme Court dismissed the Revenue’s SLP on 19.05.2025.</w:t>
      </w:r>
    </w:p>
    <w:p>
      <w:pPr>
        <w:spacing w:after="80"/>
        <w:jc w:val="both"/>
      </w:pPr>
      <w:r>
        <w:rPr>
          <w:rFonts w:ascii="Times New Roman" w:cs="Times New Roman" w:eastAsia="Times New Roman" w:hAnsi="Times New Roman"/>
          <w:i/>
          <w:iCs/>
          <w:sz w:val="24"/>
          <w:szCs w:val="24"/>
        </w:rPr>
        <w:t xml:space="preserve">Add the natural-justice point: the appeal cannot be rejected without first putting the appellant on notice and allowing rectification (National Fertilisers; Navanit Motors). Note: interest/penalty cannot be paid from the credit ledger (only tax) — confirm the pre-deposit was of the 10% of disputed TAX. Re-check the Flipkart SLP status before filing.</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pre-deposit of ten per cent of the disputed tax under Section 107(6)(b) has been duly made by utilising the balance in the noticee’s Electronic Credit Ledger. That is a permissible mode of payment, expressly clarified by the Board and upheld by the High Courts. The appeal is therefore properly constituted and cannot be rejected on this ground.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pre-deposit is a payment towards output tax. </w:t>
      </w:r>
      <w:r>
        <w:rPr>
          <w:rFonts w:ascii="Times New Roman" w:cs="Times New Roman" w:eastAsia="Times New Roman" w:hAnsi="Times New Roman"/>
          <w:sz w:val="24"/>
          <w:szCs w:val="24"/>
        </w:rPr>
        <w:t xml:space="preserve">Section 107(6)(b) requires the appellant to have ‘paid’ a sum equal to ten per cent of the remaining amount of tax in dispute. Section 49(4) permits the Electronic Credit Ledger to be used for any payment towards output tax. The pre-deposit, being a payment of (a part of) the disputed tax, is a payment towards output tax and may be discharged from the Electronic Credit Ledger.</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Board has expressly so clarified. </w:t>
      </w:r>
      <w:r>
        <w:rPr>
          <w:rFonts w:ascii="Times New Roman" w:cs="Times New Roman" w:eastAsia="Times New Roman" w:hAnsi="Times New Roman"/>
          <w:sz w:val="24"/>
          <w:szCs w:val="24"/>
        </w:rPr>
        <w:t xml:space="preserve">CBIC Circular 172/04/2022-GST dated 06.07.2022 clarifies that any amount towards output tax, whether self-assessed in the return or payable as a consequence of any proceeding under the GST laws, can be paid by utilisation of the amount available in the Electronic Credit Ledger. The pre-deposit falls squarely within this clarification.</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High Courts have upheld this mode. </w:t>
      </w:r>
      <w:r>
        <w:rPr>
          <w:rFonts w:ascii="Times New Roman" w:cs="Times New Roman" w:eastAsia="Times New Roman" w:hAnsi="Times New Roman"/>
          <w:sz w:val="24"/>
          <w:szCs w:val="24"/>
        </w:rPr>
        <w:t xml:space="preserve">The Bombay High Court in Oasis Realty v. Union of India (16.09.2022) held that, as Section 107(6)(b) uses the word ‘paid’, the appellant may utilise the Electronic Credit Ledger to pay the ten per cent of the tax in dispute. The Gujarat High Court took the same view in Yasho Industries Ltd., and the Supreme Court dismissed the Revenue’s special leave petition against that decision on 19.05.2025.</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rejection without opportunity. </w:t>
      </w:r>
      <w:r>
        <w:rPr>
          <w:rFonts w:ascii="Times New Roman" w:cs="Times New Roman" w:eastAsia="Times New Roman" w:hAnsi="Times New Roman"/>
          <w:sz w:val="24"/>
          <w:szCs w:val="24"/>
        </w:rPr>
        <w:t xml:space="preserve">In any event, the appeal cannot be rejected for the mode of the pre-deposit without first putting the noticee on notice and affording an opportunity to rectify; the principles of natural justice require as much.</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observation be dropped, the pre-deposit having been validly made through the Electronic Credit Ledger; and that the appeal be admitted and heard on merits.</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2026-06-16T04:08:19.321Z</dcterms:created>
  <dcterms:modified xsi:type="dcterms:W3CDTF">2026-06-16T04:08:19.333Z</dcterms:modified>
</cp:coreProperties>
</file>

<file path=docProps/custom.xml><?xml version="1.0" encoding="utf-8"?>
<Properties xmlns="http://schemas.openxmlformats.org/officeDocument/2006/custom-properties" xmlns:vt="http://schemas.openxmlformats.org/officeDocument/2006/docPropsVTypes"/>
</file>