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REG-31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REG-31 proposing cancellation of registration for non-filing of returns, with consequential suspension, the notice being in the wrong form and bereft of the provision and reasons.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Two levers: (1) Form REG-31 is the Rule 21A(2A) anomaly-based suspension/cancellation intimation introduced by Notif 94/2020 — cancellation for simple non-filing falls under Section 29(2)(c) read with Rule 22 in Form REG-17; using REG-31 is a wrong-form/jurisdictional defect; (2) the notice states no section and no reasons — vague and violative of natural justice.</w:t>
      </w:r>
    </w:p>
    <w:p>
      <w:pPr>
        <w:spacing w:after="80"/>
        <w:jc w:val="both"/>
      </w:pPr>
      <w:r>
        <w:rPr>
          <w:rFonts w:ascii="Times New Roman" w:cs="Times New Roman" w:eastAsia="Times New Roman" w:hAnsi="Times New Roman"/>
          <w:i/>
          <w:iCs/>
          <w:sz w:val="24"/>
          <w:szCs w:val="24"/>
        </w:rPr>
        <w:t xml:space="preserve">Authority: Kerala HC line — Pankaj Cottage v. GSTO (WP(C) 28783/2022, 22.12.2022) and Western Offshore &amp; Marine Projects — cancellation initiated through a notice in the wrong form is without jurisdiction; Babu Verghese principle (a thing required to be done in a particular manner must be done in that manner alone).</w:t>
      </w:r>
    </w:p>
    <w:p>
      <w:pPr>
        <w:spacing w:after="80"/>
        <w:jc w:val="both"/>
      </w:pPr>
      <w:r>
        <w:rPr>
          <w:rFonts w:ascii="Times New Roman" w:cs="Times New Roman" w:eastAsia="Times New Roman" w:hAnsi="Times New Roman"/>
          <w:i/>
          <w:iCs/>
          <w:sz w:val="24"/>
          <w:szCs w:val="24"/>
        </w:rPr>
        <w:t xml:space="preserve">Caveat: quashing does not absolve fiscal liability — all pending returns with tax/interest/late fee must be filed on restoration. Note REG-31 was never fully operationalised on the portal.</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is issued in Form GST REG-31, which is the intimation for suspension and notice for cancellation under Rule 21A(2A), founded on a comparison/analysis revealing anomalies. Cancellation for non-filing of returns is, however, governed by Section 29(2)(c) and is to be initiated under Rule 22 by a notice in Form GST REG-17. The notice is in the wrong form, and in any event states neither the provision invoked nor any reasons. It is therefore without jurisdiction and bad in law.</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REG-31 is the wrong form for a non-filing cancellation. </w:t>
      </w:r>
      <w:r>
        <w:rPr>
          <w:rFonts w:ascii="Times New Roman" w:cs="Times New Roman" w:eastAsia="Times New Roman" w:hAnsi="Times New Roman"/>
          <w:sz w:val="24"/>
          <w:szCs w:val="24"/>
        </w:rPr>
        <w:t xml:space="preserve">Form GST REG-31, introduced by Notification 94/2020-CT dated 22.12.2020, is the notice under Rule 21A(2A) for suspension/cancellation based on a comparison of returns and other information revealing anomalies. Cancellation for non-furnishing of returns for a continuous period of six months is a distinct ground under Section 29(2)(c), to be processed under Rule 22 through a notice in Form GST REG-17. The use of Form REG-31 for this purpose is impermissible.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thing must be done in the manner prescribed. </w:t>
      </w:r>
      <w:r>
        <w:rPr>
          <w:rFonts w:ascii="Times New Roman" w:cs="Times New Roman" w:eastAsia="Times New Roman" w:hAnsi="Times New Roman"/>
          <w:sz w:val="24"/>
          <w:szCs w:val="24"/>
        </w:rPr>
        <w:t xml:space="preserve">It is settled that where the law requires a thing to be done in a particular manner, it must be done in that manner alone. As held by the Kerala High Court in Pankaj Cottage v. Goods and Service Tax Officer (22.12.2022) and in the connected line, initiating cancellation through a notice issued in the wrong form is without jurisdiction; the registration is liable to be restored.</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 is vague. </w:t>
      </w:r>
      <w:r>
        <w:rPr>
          <w:rFonts w:ascii="Times New Roman" w:cs="Times New Roman" w:eastAsia="Times New Roman" w:hAnsi="Times New Roman"/>
          <w:sz w:val="24"/>
          <w:szCs w:val="24"/>
        </w:rPr>
        <w:t xml:space="preserve">The notice states neither the section under which cancellation is proposed nor any reasons. A notice so bereft of particulars denies the noticee any meaningful opportunity to respond and is contrary to natural justice. The consequential suspension under Rule 21A(2A) is, for the same reasons, unsustainable.</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notice in Form GST REG-31 be dropped and the suspension withdrawn, the notice being in the wrong form and bereft of particulars; and, in the alternative, that any cancellation be initiated, if at all, by a proper notice in Form GST REG-17 under Rule 22.</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2026-06-16T04:08:19.501Z</dcterms:created>
  <dcterms:modified xsi:type="dcterms:W3CDTF">2026-06-16T04:08:19.501Z</dcterms:modified>
</cp:coreProperties>
</file>

<file path=docProps/custom.xml><?xml version="1.0" encoding="utf-8"?>
<Properties xmlns="http://schemas.openxmlformats.org/officeDocument/2006/custom-properties" xmlns:vt="http://schemas.openxmlformats.org/officeDocument/2006/docPropsVTypes"/>
</file>