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(ASMT-10 /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ASMT-10 / DRC-01, the Central Tax authority having already initiated proceedings on the same subject matter and for the same financial year, so that parallel proceedings by this office are barred by Section 6(2)(b).</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AUTHORITIES CORRECTED — do NOT cite RCI Industries or Indo International Tobacco (both went AGAINST the taxpayer on this point). Use instead: Vardhan Infraastructure (Madras HC, 11.03.2024); Vivek Narsaria (Jharkhand HC, 2024); Ethos (P&amp;H HC, 2024); Kundlas Loh Udyog (HP HC, 2024); and frame around the Supreme Court’s two-fold ‘same subject matter’ test in Armour Security (India) Ltd. (2025 INSC 982, 14.08.2025).</w:t>
      </w:r>
    </w:p>
    <w:p>
      <w:pPr>
        <w:spacing w:after="80"/>
        <w:jc w:val="both"/>
      </w:pPr>
      <w:r>
        <w:rPr>
          <w:rFonts w:ascii="Times New Roman" w:cs="Times New Roman" w:eastAsia="Times New Roman" w:hAnsi="Times New Roman"/>
          <w:i/>
          <w:iCs/>
          <w:sz w:val="24"/>
          <w:szCs w:val="24"/>
        </w:rPr>
        <w:t xml:space="preserve">Post-Armour, mere summons/search by the second authority is NOT a barred ‘proceeding’ — the bar attaches at the adjudicatory SCN/ASMT-10 stage. Annex the Central ASMT-10/DRC-01 to show the earlier-initiated adjudicatory step.</w:t>
      </w:r>
    </w:p>
    <w:p>
      <w:pPr>
        <w:spacing w:after="80"/>
        <w:jc w:val="both"/>
      </w:pPr>
      <w:r>
        <w:rPr>
          <w:rFonts w:ascii="Times New Roman" w:cs="Times New Roman" w:eastAsia="Times New Roman" w:hAnsi="Times New Roman"/>
          <w:i/>
          <w:iCs/>
          <w:sz w:val="24"/>
          <w:szCs w:val="24"/>
        </w:rPr>
        <w:t xml:space="preserve">LIVE matter: Sree UGCL Projects (SLP(C) 30756/2025, interim stay 10.11.2025) is examining whether s.6(2)(b) precludes parallel Central–State proceedings — re-check immediately before filing; the cross-empowerment-notification question is also not finally settled (contra Kerala/J&amp;K/Karnataka lines).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Central Tax authority has already initiated proceedings on the very same subject matter and for the same financial year, by a notice in Form GST ASMT-10 / DRC-01 (enclosed). Section 6(2)(b) bars this office from initiating proceedings on the same subject matter once the counterpart authority has done so. The present notice is therefore without jurisdiction.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6(2)(b) bars parallel proceedings. </w:t>
      </w:r>
      <w:r>
        <w:rPr>
          <w:rFonts w:ascii="Times New Roman" w:cs="Times New Roman" w:eastAsia="Times New Roman" w:hAnsi="Times New Roman"/>
          <w:sz w:val="24"/>
          <w:szCs w:val="24"/>
        </w:rPr>
        <w:t xml:space="preserve">Section 6(2)(b) of the CGST Act provides that where a proper officer under the State/Union Territory GST Act has initiated any proceedings on a subject matter, no proceedings shall be initiated by the proper officer under the CGST Act on the same subject matter, and the converse applies. The object is to avoid two authorities proceeding against the same taxpayer on the same issue.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Central authority initiated first on the same subject matter. </w:t>
      </w:r>
      <w:r>
        <w:rPr>
          <w:rFonts w:ascii="Times New Roman" w:cs="Times New Roman" w:eastAsia="Times New Roman" w:hAnsi="Times New Roman"/>
          <w:sz w:val="24"/>
          <w:szCs w:val="24"/>
        </w:rPr>
        <w:t xml:space="preserve">The Central Tax authority issued its notice in Form GST ASMT-10 / DRC-01 on the same allegation and for the same financial year on ________, before the present notice. The earlier-initiated adjudicatory proceeding holds the field; the later proceeding by this office cannot be maintained.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position in law. </w:t>
      </w:r>
      <w:r>
        <w:rPr>
          <w:rFonts w:ascii="Times New Roman" w:cs="Times New Roman" w:eastAsia="Times New Roman" w:hAnsi="Times New Roman"/>
          <w:sz w:val="24"/>
          <w:szCs w:val="24"/>
        </w:rPr>
        <w:t xml:space="preserve">The Madras High Court in Tvl. Vardhan Infraastructure v. Special Secretary (11.03.2024), the Jharkhand High Court in Vivek Narsaria v. State of Jharkhand, and the Punjab and Haryana High Court in Ethos Ltd. have held that simultaneous proceedings by the Central and State authorities on the same subject matter are impermissible, the authority that first initiates being the one to carry the matter to its conclusion. The Supreme Court in Armour Security (India) Ltd. (14.08.2025) has prohibited parallel adjudicatory proceedings on the same subject matter and laid down the test for what constitutes the same subject matter.</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Cross-utilisation of the record, if needed. </w:t>
      </w:r>
      <w:r>
        <w:rPr>
          <w:rFonts w:ascii="Times New Roman" w:cs="Times New Roman" w:eastAsia="Times New Roman" w:hAnsi="Times New Roman"/>
          <w:sz w:val="24"/>
          <w:szCs w:val="24"/>
        </w:rPr>
        <w:t xml:space="preserve">If this office has any material requiring examination, the appropriate course is to share it with the authority already seized of the matter, rather than to commence a parallel proceeding. The noticee ought not to be vexed twice over the same issue.</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present notice be dropped as barred by Section 6(2)(b), the Central Tax authority being already seized of the same subject matter for the same financial year; and that the noticee not be subjected to parallel proceedings.</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2026-06-16T04:08:19.631Z</dcterms:created>
  <dcterms:modified xsi:type="dcterms:W3CDTF">2026-06-16T04:08:19.631Z</dcterms:modified>
</cp:coreProperties>
</file>

<file path=docProps/custom.xml><?xml version="1.0" encoding="utf-8"?>
<Properties xmlns="http://schemas.openxmlformats.org/officeDocument/2006/custom-properties" xmlns:vt="http://schemas.openxmlformats.org/officeDocument/2006/docPropsVTypes"/>
</file>