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Reference (Audit Observation / DRC-01 / ASMT-10)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audit observation / Show Cause Notice disallowing input tax credit on capital goods (television, refrigerator and mobile phone) used in the course or furtherance of business.</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Section 16(1) allows ITC on goods used or intended to be used in the course or furtherance of business; these items are NOT in the Section 17(5) blocked-credit list, so eligibility turns on business use versus the Section 17(5)(g) personal-consumption bar.</w:t>
      </w:r>
    </w:p>
    <w:p>
      <w:pPr>
        <w:spacing w:after="80"/>
        <w:jc w:val="both"/>
      </w:pPr>
      <w:r>
        <w:rPr>
          <w:rFonts w:ascii="Times New Roman" w:cs="Times New Roman" w:eastAsia="Times New Roman" w:hAnsi="Times New Roman"/>
          <w:i/>
          <w:iCs/>
          <w:sz w:val="24"/>
          <w:szCs w:val="24"/>
        </w:rPr>
        <w:t xml:space="preserve">Honest risk: Section 17(5)(g) (personal consumption) is the real exposure; the burden is on the noticee to establish business use. Build the file — invoice in the entity’s name with GSTIN, capitalisation entry, and a business-use justification (office/staff/demonstration use). If any personal element exists, claim proportionate credit only (Section 17(1)).</w:t>
      </w:r>
    </w:p>
    <w:p>
      <w:pPr>
        <w:spacing w:after="80"/>
        <w:jc w:val="both"/>
      </w:pPr>
      <w:r>
        <w:rPr>
          <w:rFonts w:ascii="Times New Roman" w:cs="Times New Roman" w:eastAsia="Times New Roman" w:hAnsi="Times New Roman"/>
          <w:i/>
          <w:iCs/>
          <w:sz w:val="24"/>
          <w:szCs w:val="24"/>
        </w:rPr>
        <w:t xml:space="preserve">Insert the asset particulars, the place of use, and how each is used for business.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input tax credit disallowed is on goods — a television, a refrigerator and a mobile phone — acquired and used for the noticee’s business. These items are not among the credits blocked by Section 17(5); credit on them is governed by the general entitlement in Section 16(1), which permits credit on goods used or intended to be used in the course or furtherance of business. The credit is therefore admissible.</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general entitlement under Section 16(1). </w:t>
      </w:r>
      <w:r>
        <w:rPr>
          <w:rFonts w:ascii="Times New Roman" w:cs="Times New Roman" w:eastAsia="Times New Roman" w:hAnsi="Times New Roman"/>
          <w:sz w:val="24"/>
          <w:szCs w:val="24"/>
        </w:rPr>
        <w:t xml:space="preserve">Section 16(1) entitles a registered person to take credit of input tax on goods or services used or intended to be used in the course or furtherance of business. The items in question were acquired for, and are used in, the noticee’s business (the television for the office/reception, the refrigerator at the business premises, and the mobile phone for business communication), as the particulars annexed establish.</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These items are not blocked under Section 17(5). </w:t>
      </w:r>
      <w:r>
        <w:rPr>
          <w:rFonts w:ascii="Times New Roman" w:cs="Times New Roman" w:eastAsia="Times New Roman" w:hAnsi="Times New Roman"/>
          <w:sz w:val="24"/>
          <w:szCs w:val="24"/>
        </w:rPr>
        <w:t xml:space="preserve">Section 17(5) enumerates the credits that are blocked; a television, refrigerator and mobile phone are not within that list. Credit on them is therefore not denied by Section 17(5), and the only question is whether they are used in the course or furtherance of business, which they are.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Capitalisation and records. </w:t>
      </w:r>
      <w:r>
        <w:rPr>
          <w:rFonts w:ascii="Times New Roman" w:cs="Times New Roman" w:eastAsia="Times New Roman" w:hAnsi="Times New Roman"/>
          <w:sz w:val="24"/>
          <w:szCs w:val="24"/>
        </w:rPr>
        <w:t xml:space="preserve">The items have been recorded/capitalised in the books, the tax invoices are in the noticee’s name bearing its GSTIN, and the conditions of Section 16(2) are satisfied. To the extent of any incidental personal use, the noticee has restricted the credit proportionately under Section 17(1); the balance is for business and is admissible.</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disallowance be dropped and the input tax credit be allowed, the goods being used in the course or furtherance of business and not blocked under Section 17(5);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2026-06-16T04:08:19.859Z</dcterms:created>
  <dcterms:modified xsi:type="dcterms:W3CDTF">2026-06-16T04:08:19.859Z</dcterms:modified>
</cp:coreProperties>
</file>

<file path=docProps/custom.xml><?xml version="1.0" encoding="utf-8"?>
<Properties xmlns="http://schemas.openxmlformats.org/officeDocument/2006/custom-properties" xmlns:vt="http://schemas.openxmlformats.org/officeDocument/2006/docPropsVTypes"/>
</file>