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Proper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MOV-07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Reply/objection to the detention of goods under Section 129 (Form GST MOV-07) on the ground of a single/double-digit mismatch in the vehicle number in the e-way bill.</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a one/two-digit/character error in the vehicle number is a minor discrepancy attracting only Rs.500 + Rs.500 under Section 125 (Circular 64/38/2018-GST, clause (f)) and NOT detention under Section 129; intent to evade is a sine qua non (Satyam Shivam Papers, SC; Hindustan Herbal Cosmetics, Allahabad HC).</w:t>
      </w:r>
    </w:p>
    <w:p>
      <w:pPr>
        <w:spacing w:after="80"/>
        <w:jc w:val="both"/>
      </w:pPr>
      <w:r>
        <w:rPr>
          <w:rFonts w:ascii="Times New Roman" w:cs="Times New Roman" w:eastAsia="Times New Roman" w:hAnsi="Times New Roman"/>
          <w:i/>
          <w:iCs/>
          <w:sz w:val="24"/>
          <w:szCs w:val="24"/>
        </w:rPr>
        <w:t xml:space="preserve">Contrary line to anticipate: the Revenue argues the circular protects only up to a TWO-digit error — Hindustan Herbal granted relief on a 3-digit error holding mens rea controls; lead on the no-intent-to-evade test to overcome the two-digit ceiling. Re-check the SLP status of any contrary ‘strict two-digit’ ruling before filing.</w:t>
      </w:r>
    </w:p>
    <w:p>
      <w:pPr>
        <w:spacing w:after="80"/>
        <w:jc w:val="both"/>
      </w:pPr>
      <w:r>
        <w:rPr>
          <w:rFonts w:ascii="Times New Roman" w:cs="Times New Roman" w:eastAsia="Times New Roman" w:hAnsi="Times New Roman"/>
          <w:i/>
          <w:iCs/>
          <w:sz w:val="24"/>
          <w:szCs w:val="24"/>
        </w:rPr>
        <w:t xml:space="preserve">Insert the invoice, e-way bill and bilty particulars and the physical-verification result (no discrepancy in goods).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goods moved with a valid invoice, e-way bill and lorry receipt. The only defect alleged is a single/double-digit error in the vehicle number recorded in the e-way bill, the correct vehicle having in fact carried the goods. Such a minor, clerical error neither evidences nor facilitates any evasion. Detention under Section 129 is unwarranted: there is neither tax evasion nor any intent to evade.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minor vehicle-number error attracts only a nominal penalty. </w:t>
      </w:r>
      <w:r>
        <w:rPr>
          <w:rFonts w:ascii="Times New Roman" w:cs="Times New Roman" w:eastAsia="Times New Roman" w:hAnsi="Times New Roman"/>
          <w:sz w:val="24"/>
          <w:szCs w:val="24"/>
        </w:rPr>
        <w:t xml:space="preserve">Circular 64/38/2018-GST dated 14.09.2018, at clause (f), provides that an error in one or two digits/characters of the vehicle number is a minor discrepancy for which proceedings under Section 129 are not to be initiated, and only a penalty of Rs. 500 under the CGST Act and Rs. 500 under the SGST Act (Rs. 1,000 under the IGST Act) is to be imposed. The present error is squarely of that minor character.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Intent to evade is the sine qua non for Section 129. </w:t>
      </w:r>
      <w:r>
        <w:rPr>
          <w:rFonts w:ascii="Times New Roman" w:cs="Times New Roman" w:eastAsia="Times New Roman" w:hAnsi="Times New Roman"/>
          <w:sz w:val="24"/>
          <w:szCs w:val="24"/>
        </w:rPr>
        <w:t xml:space="preserve">Detention and penalty under Section 129 require an intent to evade tax. The goods were accompanied by all valid documents and the correct vehicle carried them; nothing was found amiss on physical verification. As held by the Supreme Court in Assistant Commissioner (ST) v. Satyam Shivam Papers Pvt. Ltd. (12.01.2022) and by the Allahabad High Court in Hindustan Herbal Cosmetics v. State of U.P., the presence of mens rea to evade tax is a sine qua non; a typographical error in the vehicle number, without material showing intent to evade, cannot found a penalty under Section 129.</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Goods and documents otherwise in order. </w:t>
      </w:r>
      <w:r>
        <w:rPr>
          <w:rFonts w:ascii="Times New Roman" w:cs="Times New Roman" w:eastAsia="Times New Roman" w:hAnsi="Times New Roman"/>
          <w:sz w:val="24"/>
          <w:szCs w:val="24"/>
        </w:rPr>
        <w:t xml:space="preserve">The invoice, e-way bill and lorry receipt are otherwise in order and correctly describe the goods, their value and the tax. The single/double-digit discrepancy in the vehicle number has no bearing on the genuineness of the consignment.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goods and conveyance be released forthwith and the proceedings under Section 129 be dropped; and that, if at all, only the minor-discrepancy penalty under Circular 64/2018-GST be considered.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2026-06-16T04:08:19.925Z</dcterms:created>
  <dcterms:modified xsi:type="dcterms:W3CDTF">2026-06-16T04:08:19.925Z</dcterms:modified>
</cp:coreProperties>
</file>

<file path=docProps/custom.xml><?xml version="1.0" encoding="utf-8"?>
<Properties xmlns="http://schemas.openxmlformats.org/officeDocument/2006/custom-properties" xmlns:vt="http://schemas.openxmlformats.org/officeDocument/2006/docPropsVTypes"/>
</file>