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Appellate Authority,</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(cancelled):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20"/>
        <w:jc w:val="left"/>
      </w:pPr>
      <w:r>
        <w:rPr>
          <w:rFonts w:ascii="Times New Roman" w:cs="Times New Roman" w:eastAsia="Times New Roman" w:hAnsi="Times New Roman"/>
          <w:sz w:val="24"/>
          <w:szCs w:val="24"/>
        </w:rPr>
        <w:t xml:space="preserve">Appeal No. / Form APL-01 Reference No.: ____________  dated __________</w:t>
      </w:r>
    </w:p>
    <w:p>
      <w:pPr>
        <w:spacing w:after="160"/>
        <w:jc w:val="left"/>
      </w:pPr>
      <w:r>
        <w:rPr>
          <w:rFonts w:ascii="Times New Roman" w:cs="Times New Roman" w:eastAsia="Times New Roman" w:hAnsi="Times New Roman"/>
          <w:sz w:val="24"/>
          <w:szCs w:val="24"/>
        </w:rPr>
        <w:t xml:space="preserve">Cancellation Order dated: 01.03.2022   Appeal filed on: 01.08.2022</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observation on limitation, and submission for admission of the appeal against the order cancelling registration, with restoration of registration on filing of all returns and payment of dues.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DROP the stale plank: do NOT argue ‘no GST Tribunal exists’ — the Tribunal is operational (and is not the forum for a cancellation appeal in any event). Lead instead on the RESTORATION route.</w:t>
      </w:r>
    </w:p>
    <w:p>
      <w:pPr>
        <w:spacing w:after="80"/>
        <w:jc w:val="both"/>
      </w:pPr>
      <w:r>
        <w:rPr>
          <w:rFonts w:ascii="Times New Roman" w:cs="Times New Roman" w:eastAsia="Times New Roman" w:hAnsi="Times New Roman"/>
          <w:i/>
          <w:iCs/>
          <w:sz w:val="24"/>
          <w:szCs w:val="24"/>
        </w:rPr>
        <w:t xml:space="preserve">Primary strategy (Suguna Cutpiece Center, Madras HC, 31.01.2022): courts routinely restore a registration cancelled for non-filing on the conditions — file all pending returns, pay tax + interest + late fee, do not use unverified ITC until verified, pay post-cancellation liabilities in cash. Offer to comply.</w:t>
      </w:r>
    </w:p>
    <w:p>
      <w:pPr>
        <w:spacing w:after="80"/>
        <w:jc w:val="both"/>
      </w:pPr>
      <w:r>
        <w:rPr>
          <w:rFonts w:ascii="Times New Roman" w:cs="Times New Roman" w:eastAsia="Times New Roman" w:hAnsi="Times New Roman"/>
          <w:i/>
          <w:iCs/>
          <w:sz w:val="24"/>
          <w:szCs w:val="24"/>
        </w:rPr>
        <w:t xml:space="preserve">Condonation: the strict line (Singh Enterprises; Garg Enterprises, Allahabad) bars condonation beyond 3+1 months under Section 107(4); the directory view (S.K. Chakraborty, Calcutta) is under Supreme Court stay (30.08.2024) — reserve it only in Calcutta jurisdiction. The amnesty (Notif 03/2023) window closed on 30.06.2023.</w:t>
      </w:r>
    </w:p>
    <w:p>
      <w:pPr>
        <w:spacing w:after="80"/>
        <w:jc w:val="both"/>
      </w:pPr>
      <w:r>
        <w:rPr>
          <w:rFonts w:ascii="Times New Roman" w:cs="Times New Roman" w:eastAsia="Times New Roman" w:hAnsi="Times New Roman"/>
          <w:i/>
          <w:iCs/>
          <w:sz w:val="24"/>
          <w:szCs w:val="24"/>
        </w:rPr>
        <w:t xml:space="preserve">Cite Chenna Krishnama Charyulu Karampudi (Telangana HC, WP 27071/2022, 27.06.2022) for remand under Article 226 — note it is a remand, not condonation. Insert the reason for delay and the dates.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registration was cancelled for non-filing of returns. The noticee has since put its compliance in order and seeks restoration. While the appeal was filed a little beyond the period in Section 107, the cancellation visits serious civil consequences and the noticee ought not to be left without remedy. Following the consistent practice of the High Courts, the registration is liable to be restored on the noticee filing all pending returns and paying the tax, interest and late fee due.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Cancellation for non-filing should be undone on compliance. </w:t>
      </w:r>
      <w:r>
        <w:rPr>
          <w:rFonts w:ascii="Times New Roman" w:cs="Times New Roman" w:eastAsia="Times New Roman" w:hAnsi="Times New Roman"/>
          <w:sz w:val="24"/>
          <w:szCs w:val="24"/>
        </w:rPr>
        <w:t xml:space="preserve">The sole ground of cancellation was non-filing of returns. That default is curable. As the Madras High Court held in Tvl. Suguna Cutpiece Center v. Appellate Deputy Commissioner (31.01.2022), and as High Courts have consistently directed since, a registration cancelled for non-filing is to be restored where the registered person files all pending returns and pays the tax due together with interest and late fee. The noticee undertakes to do so.</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Delay was neither wilful nor mala fide. </w:t>
      </w:r>
      <w:r>
        <w:rPr>
          <w:rFonts w:ascii="Times New Roman" w:cs="Times New Roman" w:eastAsia="Times New Roman" w:hAnsi="Times New Roman"/>
          <w:sz w:val="24"/>
          <w:szCs w:val="24"/>
        </w:rPr>
        <w:t xml:space="preserve">The delay in preferring the appeal arose from ________ (e.g., non-receipt of effective intimation of the order, which was uploaded on the portal that the noticee, its registration being cancelled, had ceased to access). The delay is neither wilful nor for any oblique purpose, and no prejudice is caused to the revenue by an adjudication on merits.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Restoration serves the revenue. </w:t>
      </w:r>
      <w:r>
        <w:rPr>
          <w:rFonts w:ascii="Times New Roman" w:cs="Times New Roman" w:eastAsia="Times New Roman" w:hAnsi="Times New Roman"/>
          <w:sz w:val="24"/>
          <w:szCs w:val="24"/>
        </w:rPr>
        <w:t xml:space="preserve">Cancellation drives the noticee outside the tax net and defeats collection; restoration enables the noticee to discharge its ongoing liabilities and to pass on credit. A liberal approach is therefore consistent with the interest of revenue. Reliance is placed on the order of the Telangana High Court in Chenna Krishnama Charyulu Karampudi (27.06.2022) remitting such a matter for consideration.</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appeal be admitted, the order of cancellation be set aside, and the registration be restored, subject to the noticee filing all pending returns and paying the tax, interest and late fee due; and, in the alternative, that the matter be remanded for restoration on such terms.</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2026-06-16T13:59:25.885Z</dcterms:created>
  <dcterms:modified xsi:type="dcterms:W3CDTF">2026-06-16T13:59:25.900Z</dcterms:modified>
</cp:coreProperties>
</file>

<file path=docProps/custom.xml><?xml version="1.0" encoding="utf-8"?>
<Properties xmlns="http://schemas.openxmlformats.org/officeDocument/2006/custom-properties" xmlns:vt="http://schemas.openxmlformats.org/officeDocument/2006/docPropsVTypes"/>
</file>