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 (Audit),</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GST ADT-01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Request for a copy of the draft audit report / draft audit observations to enable submission of the noticee’s comments before finalisation of the audit under Section 65.</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Basis: there is no express statutory ‘draft audit report’, but the duty to put observations to the taxpayer before finalising flows from Rule 101(4) (discrepancies + explanation) read with Section 65(6) (inform the findings, reasons, rights and obligations within 30 days) and natural justice, and is built into the Model All India GST Audit Manual 2023.</w:t>
      </w:r>
    </w:p>
    <w:p>
      <w:pPr>
        <w:spacing w:after="80"/>
        <w:jc w:val="both"/>
      </w:pPr>
      <w:r>
        <w:rPr>
          <w:rFonts w:ascii="Times New Roman" w:cs="Times New Roman" w:eastAsia="Times New Roman" w:hAnsi="Times New Roman"/>
          <w:i/>
          <w:iCs/>
          <w:sz w:val="24"/>
          <w:szCs w:val="24"/>
        </w:rPr>
        <w:t xml:space="preserve">Authority: the Varian Medical Systems line (Delhi HC) — procedural fairness in the audit-to-SCN process; an SCN before the reply period / without putting draft observations is a natural-justice infirmity.</w:t>
      </w:r>
    </w:p>
    <w:p>
      <w:pPr>
        <w:spacing w:after="80"/>
        <w:jc w:val="both"/>
      </w:pPr>
      <w:r>
        <w:rPr>
          <w:rFonts w:ascii="Times New Roman" w:cs="Times New Roman" w:eastAsia="Times New Roman" w:hAnsi="Times New Roman"/>
          <w:i/>
          <w:iCs/>
          <w:sz w:val="24"/>
          <w:szCs w:val="24"/>
        </w:rPr>
        <w:t xml:space="preserve">Frame as a request to be heard on the draft observations before ADT-02 / before any SCN. Insert the dates of ADT-01, document submission and audit completion.</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audit of the noticee under Section 65 has been completed, but no draft audit report or draft observations have been shared with the noticee for its comments. Before the audit findings are finalised in Form GST ADT-02, or any show cause notice is issued, the noticee is entitled to be apprised of the proposed observations and to respond to them. A copy of the draft audit report / observations is therefore requested.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Discrepancies must be put to the registered person. </w:t>
      </w:r>
      <w:r>
        <w:rPr>
          <w:rFonts w:ascii="Times New Roman" w:cs="Times New Roman" w:eastAsia="Times New Roman" w:hAnsi="Times New Roman"/>
          <w:sz w:val="24"/>
          <w:szCs w:val="24"/>
        </w:rPr>
        <w:t xml:space="preserve">Rule 101(4) requires the proper officer, on the basis of the audit, to inform the registered person of the discrepancies noticed, so that the registered person may file its explanation before the findings are finalised. The exercise presupposes that the proposed observations are shared with the noticee for comment.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Section 65(6) and natural justice. </w:t>
      </w:r>
      <w:r>
        <w:rPr>
          <w:rFonts w:ascii="Times New Roman" w:cs="Times New Roman" w:eastAsia="Times New Roman" w:hAnsi="Times New Roman"/>
          <w:sz w:val="24"/>
          <w:szCs w:val="24"/>
        </w:rPr>
        <w:t xml:space="preserve">Section 65(6) requires the proper officer, on conclusion of the audit, to inform the registered person of the findings, the reasons for them and the person’s rights and obligations. Read with the principles of natural justice and the Model All India GST Audit Manual, this requires that the noticee be given the draft observations and an opportunity to respond before the report is finalised or any demand is raised.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Avoidance of an infirm proceeding. </w:t>
      </w:r>
      <w:r>
        <w:rPr>
          <w:rFonts w:ascii="Times New Roman" w:cs="Times New Roman" w:eastAsia="Times New Roman" w:hAnsi="Times New Roman"/>
          <w:sz w:val="24"/>
          <w:szCs w:val="24"/>
        </w:rPr>
        <w:t xml:space="preserve">Finalising the audit, or issuing a show cause notice, without first putting the draft observations to the noticee would render the proceeding vulnerable for breach of natural justice, as the recent decisions on the audit-to-notice process recognise. Sharing the draft observations now will avoid that infirmity.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a copy of the draft audit report / draft audit observations be furnished to the noticee, and that the noticee be granted a reasonable opportunity to submit its comments before the audit is finalised in Form GST ADT-02 or any show cause notice is issued.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2026-06-16T13:59:26.082Z</dcterms:created>
  <dcterms:modified xsi:type="dcterms:W3CDTF">2026-06-16T13:59:26.082Z</dcterms:modified>
</cp:coreProperties>
</file>

<file path=docProps/custom.xml><?xml version="1.0" encoding="utf-8"?>
<Properties xmlns="http://schemas.openxmlformats.org/officeDocument/2006/custom-properties" xmlns:vt="http://schemas.openxmlformats.org/officeDocument/2006/docPropsVTypes"/>
</file>