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demanding interest at a flat 18% for late filing of Form GSTR-3B for the COVID period February 2020 to July 2020.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 flat 18% from the due date is wrong; the COVID interest-relief slabs apply (Notif 31/2020 + 51/2020; Circular 141/11/2020-GST).</w:t>
      </w:r>
    </w:p>
    <w:p>
      <w:pPr>
        <w:spacing w:after="80"/>
        <w:jc w:val="both"/>
      </w:pPr>
      <w:r>
        <w:rPr>
          <w:rFonts w:ascii="Times New Roman" w:cs="Times New Roman" w:eastAsia="Times New Roman" w:hAnsi="Times New Roman"/>
          <w:i/>
          <w:iCs/>
          <w:sz w:val="24"/>
          <w:szCs w:val="24"/>
        </w:rPr>
        <w:t xml:space="preserve">Slabs: TO above Rs.5cr (Feb–Apr 2020): NIL for first 15 days, 9% thereafter up to 24.06.2020, 18% from 25.06.2020 — if filed by 24.06.2020. TO up to Rs.5cr (Feb–Jul 2020, state-staggered): NIL up to the state-specific date in 51/2020, 9% to 30.09.2020, 18% from 01.10.2020 — if filed by the staggered dates.</w:t>
      </w:r>
    </w:p>
    <w:p>
      <w:pPr>
        <w:spacing w:after="80"/>
        <w:jc w:val="both"/>
      </w:pPr>
      <w:r>
        <w:rPr>
          <w:rFonts w:ascii="Times New Roman" w:cs="Times New Roman" w:eastAsia="Times New Roman" w:hAnsi="Times New Roman"/>
          <w:i/>
          <w:iCs/>
          <w:sz w:val="24"/>
          <w:szCs w:val="24"/>
        </w:rPr>
        <w:t xml:space="preserve">Pick the correct slab for the client’s turnover and state, and annex a corrected month-wise computation. Confirm the filing dates against the conditional dates.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interest has been computed at a flat eighteen per cent from the due date, ignoring the COVID interest relief. For the period February 2020 to July 2020, the Government provided, by notification, nil interest for an initial period and a reduced rate of nine per cent thereafter up to specified dates, with eighteen per cent applying only beyond those dates. On a correct computation under those notifications, the interest payable is far less than that demanded.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COVID interest-relief notifications apply. </w:t>
      </w:r>
      <w:r>
        <w:rPr>
          <w:rFonts w:ascii="Times New Roman" w:cs="Times New Roman" w:eastAsia="Times New Roman" w:hAnsi="Times New Roman"/>
          <w:sz w:val="24"/>
          <w:szCs w:val="24"/>
        </w:rPr>
        <w:t xml:space="preserve">By Notification 31/2020-Central Tax dated 03.04.2020, as amended by Notification 51/2020-Central Tax dated 24.06.2020, and as clarified by Circular 141/11/2020-GST dated 24.06.2020, the rate of interest for delayed filing of Form GSTR-3B for the relevant period was reduced — nil for an initial period after the due date, nine per cent thereafter up to the specified date, and eighteen per cent only beyond that date — subject to filing within the conditional dates.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applicable slab for the noticee. </w:t>
      </w:r>
      <w:r>
        <w:rPr>
          <w:rFonts w:ascii="Times New Roman" w:cs="Times New Roman" w:eastAsia="Times New Roman" w:hAnsi="Times New Roman"/>
          <w:sz w:val="24"/>
          <w:szCs w:val="24"/>
        </w:rPr>
        <w:t xml:space="preserve">The noticee’s aggregate turnover in the preceding financial year being Rs. ____ (and its principal place of business being in ________), the applicable relief is: nil interest for the first ____ days from the due date, nine per cent up to ________, and eighteen per cent only thereafter. The returns were filed on the dates set out in the annexed chart, within the conditional dates.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Recomputation. </w:t>
      </w:r>
      <w:r>
        <w:rPr>
          <w:rFonts w:ascii="Times New Roman" w:cs="Times New Roman" w:eastAsia="Times New Roman" w:hAnsi="Times New Roman"/>
          <w:sz w:val="24"/>
          <w:szCs w:val="24"/>
        </w:rPr>
        <w:t xml:space="preserve">On a correct computation under the said notifications, the interest payable is Rs. ____, as against Rs. ____ demanded at a flat eighteen per cent. The corrected month-wise computation is annexed.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interest be recomputed in accordance with Notifications 31/2020 and 51/2020 as clarified by Circular 141/11/2020-GST, and confirmed only to that extent;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2026-06-16T13:59:26.187Z</dcterms:created>
  <dcterms:modified xsi:type="dcterms:W3CDTF">2026-06-16T13:59:26.187Z</dcterms:modified>
</cp:coreProperties>
</file>

<file path=docProps/custom.xml><?xml version="1.0" encoding="utf-8"?>
<Properties xmlns="http://schemas.openxmlformats.org/officeDocument/2006/custom-properties" xmlns:vt="http://schemas.openxmlformats.org/officeDocument/2006/docPropsVTypes"/>
</file>