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under Section 73 / Form ASMT-10)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excess input tax credit in Form GSTR-3B over Form GSTR-2A for FY 2017-18 and FY 2018-19, where the supplier wrongly reported the supply as B2C instead of B2B though the tax was paid.</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This is Scenario 3 of Circular 183/15/2022-GST: the supplier issued a B2B invoice bearing the recipient’s GSTIN but reported it as B2C in GSTR-1, so it did not flow into the recipient’s GSTR-2A — although the supplier paid the tax. The defect is in reporting, not in payment.</w:t>
      </w:r>
    </w:p>
    <w:p>
      <w:pPr>
        <w:spacing w:after="80"/>
        <w:jc w:val="both"/>
      </w:pPr>
      <w:r>
        <w:rPr>
          <w:rFonts w:ascii="Times New Roman" w:cs="Times New Roman" w:eastAsia="Times New Roman" w:hAnsi="Times New Roman"/>
          <w:i/>
          <w:iCs/>
          <w:sz w:val="24"/>
          <w:szCs w:val="24"/>
        </w:rPr>
        <w:t xml:space="preserve">Levers: (1) for FY 2017-18 and 2018-19, GSTR-2A was not the statutory basis for ITC — Section 16(2) is; (2) Circular 183 verification (supplier declaration ≤ Rs.5 lakh/supplier; CA/CMA certificate with UDIN &gt; Rs.5 lakh) is the cure; (3) Section 16(5) for any time-bar.</w:t>
      </w:r>
    </w:p>
    <w:p>
      <w:pPr>
        <w:spacing w:after="80"/>
        <w:jc w:val="both"/>
      </w:pPr>
      <w:r>
        <w:rPr>
          <w:rFonts w:ascii="Times New Roman" w:cs="Times New Roman" w:eastAsia="Times New Roman" w:hAnsi="Times New Roman"/>
          <w:i/>
          <w:iCs/>
          <w:sz w:val="24"/>
          <w:szCs w:val="24"/>
        </w:rPr>
        <w:t xml:space="preserve">Live risk to flag privately: the constitutional validity of Section 16(2)(c) is before the Supreme Court — re-check before filing. Annex the invoices, the supplier’s confirmation/declaration and the certificate; supplier GSTR-3B payment proof helps.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difference between the input tax credit availed and that appearing in Form GSTR-2A arises because the supplier, though it issued a B2B tax invoice bearing the noticee’s GSTIN and paid the tax to the Government, wrongly reported the supply as B2C in its Form GSTR-1, so that it did not populate the noticee’s Form GSTR-2A. The credit is genuine; the defect is in the supplier’s reporting, not in the payment of tax, and the noticee’s entitlement is unaffected.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For 2017-18 and 2018-19, GSTR-2A was not the basis of credit. </w:t>
      </w:r>
      <w:r>
        <w:rPr>
          <w:rFonts w:ascii="Times New Roman" w:cs="Times New Roman" w:eastAsia="Times New Roman" w:hAnsi="Times New Roman"/>
          <w:sz w:val="24"/>
          <w:szCs w:val="24"/>
        </w:rPr>
        <w:t xml:space="preserve">For the financial years 2017-18 and 2018-19, input tax credit was governed by the conditions of Section 16(2) — possession of a tax invoice, receipt of the goods or services, payment of tax to the Government, and furnishing of the return. There was, in that period, no statutory requirement that the credit match Form GSTR-2A; Rule 36(4) took effect only on 09.10.2019. A mismatch with Form GSTR-2A is therefore not, by itself, a ground to deny the credit.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defect is in reporting, not in payment. </w:t>
      </w:r>
      <w:r>
        <w:rPr>
          <w:rFonts w:ascii="Times New Roman" w:cs="Times New Roman" w:eastAsia="Times New Roman" w:hAnsi="Times New Roman"/>
          <w:sz w:val="24"/>
          <w:szCs w:val="24"/>
        </w:rPr>
        <w:t xml:space="preserve">The supplier raised a proper B2B invoice carrying the noticee’s GSTIN and discharged the tax in its Form GSTR-3B; it merely classified the supply as B2C in its Form GSTR-1. The tax having reached the Government, the condition in Section 16(2)(c) is satisfied, and the mis-classification does not disentitle the noticee.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Board’s prescribed verification answers the case. </w:t>
      </w:r>
      <w:r>
        <w:rPr>
          <w:rFonts w:ascii="Times New Roman" w:cs="Times New Roman" w:eastAsia="Times New Roman" w:hAnsi="Times New Roman"/>
          <w:sz w:val="24"/>
          <w:szCs w:val="24"/>
        </w:rPr>
        <w:t xml:space="preserve">Circular 183/15/2022-GST dated 27.12.2022 deals precisely with this situation (a supplier reporting a B2B invoice as B2C), and provides for verification through the supplier’s declaration where the difference per supplier is up to Rs. 5 lakh, and a certificate of a Chartered Accountant or Cost Accountant with UDIN where it exceeds Rs. 5 lakh. The noticee furnishes / undertakes to furnish the requisite declaration / certificate, together with the invoices and the supplier’s confirmation.</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Limitation, if raised. </w:t>
      </w:r>
      <w:r>
        <w:rPr>
          <w:rFonts w:ascii="Times New Roman" w:cs="Times New Roman" w:eastAsia="Times New Roman" w:hAnsi="Times New Roman"/>
          <w:sz w:val="24"/>
          <w:szCs w:val="24"/>
        </w:rPr>
        <w:t xml:space="preserve">To the extent any part of the credit is sought to be denied on the time limit in Section 16(4), the bar is lifted by Section 16(5) for credit availed in returns filed up to 30 November 2021 for the financial years 2017-18 to 2020-21.</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dropped, the credit being genuine and verifiable under Circular 183/15/2022-GST;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2026-06-17T01:59:19.932Z</dcterms:created>
  <dcterms:modified xsi:type="dcterms:W3CDTF">2026-06-17T01:59:19.945Z</dcterms:modified>
</cp:coreProperties>
</file>

<file path=docProps/custom.xml><?xml version="1.0" encoding="utf-8"?>
<Properties xmlns="http://schemas.openxmlformats.org/officeDocument/2006/custom-properties" xmlns:vt="http://schemas.openxmlformats.org/officeDocument/2006/docPropsVTypes"/>
</file>