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under Section 73 / Form ASMT-10)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alleging excess input tax credit in Form GSTR-3B over Form GSTR-2A, where the supplier reported the supply against the wrong recipient GSTIN.</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This is Scenario 4 of Circular 183/15/2022-GST: the supplier filed GSTR-1 and GSTR-3B and paid tax, but declared the invoice against a wrong recipient GSTIN, so it did not appear in the noticee’s GSTR-2A.</w:t>
      </w:r>
    </w:p>
    <w:p>
      <w:pPr>
        <w:spacing w:after="80"/>
        <w:jc w:val="both"/>
      </w:pPr>
      <w:r>
        <w:rPr>
          <w:rFonts w:ascii="Times New Roman" w:cs="Times New Roman" w:eastAsia="Times New Roman" w:hAnsi="Times New Roman"/>
          <w:i/>
          <w:iCs/>
          <w:sz w:val="24"/>
          <w:szCs w:val="24"/>
        </w:rPr>
        <w:t xml:space="preserve">Levers: (1) for FY 2017-18/2018-19, GSTR-2A is not the basis of credit — Section 16(2) is; (2) a supplier’s clerical GSTIN error does not disentitle the bona fide recipient; (3) Circular 183 verification applies; the officer of the actual recipient may intimate the jurisdictional officer of the wrongly-mentioned GSTIN, but the recipient’s ITC is not contingent on that. Cite Wipro (Karnataka HC, 06.01.2023).</w:t>
      </w:r>
    </w:p>
    <w:p>
      <w:pPr>
        <w:spacing w:after="80"/>
        <w:jc w:val="both"/>
      </w:pPr>
      <w:r>
        <w:rPr>
          <w:rFonts w:ascii="Times New Roman" w:cs="Times New Roman" w:eastAsia="Times New Roman" w:hAnsi="Times New Roman"/>
          <w:i/>
          <w:iCs/>
          <w:sz w:val="24"/>
          <w:szCs w:val="24"/>
        </w:rPr>
        <w:t xml:space="preserve">Section 16(5) for time-bar. Live SC challenge to Section 16(2)(c) — re-check. Annex invoices, supplier confirmation of the GSTIN error, and the certificate.</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credit in question does not appear in the noticee’s Form GSTR-2A because the supplier, while filing its Form GSTR-1 and Form GSTR-3B and paying the tax, declared the invoice against a wrong recipient GSTIN. The supply was made to, and the tax borne by, the noticee. A clerical error of the supplier in recording the recipient’s GSTIN does not disentitle the noticee, which satisfies the conditions of Section 16(2).</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GSTR-2A was not the basis of credit for the period. </w:t>
      </w:r>
      <w:r>
        <w:rPr>
          <w:rFonts w:ascii="Times New Roman" w:cs="Times New Roman" w:eastAsia="Times New Roman" w:hAnsi="Times New Roman"/>
          <w:sz w:val="24"/>
          <w:szCs w:val="24"/>
        </w:rPr>
        <w:t xml:space="preserve">As with the preceding period generally, for the financial years 2017-18 and 2018-19 input tax credit was governed by Section 16(2) and not by a matching with Form GSTR-2A, Rule 36(4) having taken effect only on 09.10.2019. A non-appearance in Form GSTR-2A, attributable to the supplier’s error, is not a ground to deny the credit.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supplier’s wrong GSTIN does not disentitle the recipient. </w:t>
      </w:r>
      <w:r>
        <w:rPr>
          <w:rFonts w:ascii="Times New Roman" w:cs="Times New Roman" w:eastAsia="Times New Roman" w:hAnsi="Times New Roman"/>
          <w:sz w:val="24"/>
          <w:szCs w:val="24"/>
        </w:rPr>
        <w:t xml:space="preserve">The invoice was raised on the noticee, the goods/services were received by the noticee, and the tax was paid by the supplier to the Government. The supplier’s clerical error in capturing the recipient’s GSTIN in its Form GSTR-1 is the supplier’s mistake and does not affect the noticee’s entitlement, the conditions of Section 16(2) being satisfied.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Board’s prescribed verification answers the case. </w:t>
      </w:r>
      <w:r>
        <w:rPr>
          <w:rFonts w:ascii="Times New Roman" w:cs="Times New Roman" w:eastAsia="Times New Roman" w:hAnsi="Times New Roman"/>
          <w:sz w:val="24"/>
          <w:szCs w:val="24"/>
        </w:rPr>
        <w:t xml:space="preserve">Circular 183/15/2022-GST dated 27.12.2022 addresses this very situation (a supplier reporting a supply against the wrong GSTIN), and provides for verification through the supplier’s declaration (difference up to Rs. 5 lakh per supplier) or a Chartered/Cost Accountant’s certificate with UDIN (above Rs. 5 lakh). The noticee furnishes the same, with the supplier’s confirmation of the error. Reliance is placed on the decision of the Karnataka High Court in Wipro Limited India, permitting rectification of such a GSTIN error and the consequent allowance of credit.</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Limitation, if raised. </w:t>
      </w:r>
      <w:r>
        <w:rPr>
          <w:rFonts w:ascii="Times New Roman" w:cs="Times New Roman" w:eastAsia="Times New Roman" w:hAnsi="Times New Roman"/>
          <w:sz w:val="24"/>
          <w:szCs w:val="24"/>
        </w:rPr>
        <w:t xml:space="preserve">Any reliance on the time limit in Section 16(4) is answered by Section 16(5) for credit availed in returns filed up to 30 November 2021 for the financial years 2017-18 to 2020-21.</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proceedings be dropped, the credit being genuine and verifiable under Circular 183/15/2022-GST notwithstanding the supplier’s GSTIN error;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2026-06-17T01:59:20.112Z</dcterms:created>
  <dcterms:modified xsi:type="dcterms:W3CDTF">2026-06-17T01:59:20.112Z</dcterms:modified>
</cp:coreProperties>
</file>

<file path=docProps/custom.xml><?xml version="1.0" encoding="utf-8"?>
<Properties xmlns="http://schemas.openxmlformats.org/officeDocument/2006/custom-properties" xmlns:vt="http://schemas.openxmlformats.org/officeDocument/2006/docPropsVTypes"/>
</file>