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under Section 73 / Form ASMT-10)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alleging excess input tax credit in Form GSTR-3B over Form GSTR-2A, where the supplier failed to report the supply in Form GSTR-1 and Form GSTR-3B.</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HARDEST CASE — the supplier did not report the sale at all, so the tax may not have reached the Government and Section 16(2)(c) is prima facie in issue. Be honest about exposure.</w:t>
      </w:r>
    </w:p>
    <w:p>
      <w:pPr>
        <w:spacing w:after="80"/>
        <w:jc w:val="both"/>
      </w:pPr>
      <w:r>
        <w:rPr>
          <w:rFonts w:ascii="Times New Roman" w:cs="Times New Roman" w:eastAsia="Times New Roman" w:hAnsi="Times New Roman"/>
          <w:i/>
          <w:iCs/>
          <w:sz w:val="24"/>
          <w:szCs w:val="24"/>
        </w:rPr>
        <w:t xml:space="preserve">Lead with: (1) the noticee has met its part of Section 16(2) — valid invoice, receipt of goods/services, payment to the supplier including tax; (2) the recipient cannot be mechanically denied ITC for the supplier’s default without the Department first proceeding against the supplier (Suncraft Energy, Cal HC — SLP dismissed 14.12.2023 on low tax effect, NOT Article 141; Diya Agencies, Ker HC); (3) Press Release dated 04.05.2018 (no automatic reversal in the recipient’s hands for supplier non-payment in FY 17-18/18-19); (4) Section 16(5) for time-bar.</w:t>
      </w:r>
    </w:p>
    <w:p>
      <w:pPr>
        <w:spacing w:after="80"/>
        <w:jc w:val="both"/>
      </w:pPr>
      <w:r>
        <w:rPr>
          <w:rFonts w:ascii="Times New Roman" w:cs="Times New Roman" w:eastAsia="Times New Roman" w:hAnsi="Times New Roman"/>
          <w:i/>
          <w:iCs/>
          <w:sz w:val="24"/>
          <w:szCs w:val="24"/>
        </w:rPr>
        <w:t xml:space="preserve">Honest contrary line (do not suppress): the burden to prove genuineness is on the recipient (Ecom Gill, SC; applied in Anil Rice Mill, All HC), and several HCs uphold Section 16(2)(c) denial where the supplier did not pay (Aastha Enterprises, Patna; Thirumalakonda Plywoods, AP; M. Trade Links, Kerala). The constitutional validity of Section 16(2)(c) is before the Supreme Court — re-check before filing. Marshal the full evidence pack; realistic best case is remand for verification.</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noticee has discharged every obligation within its control: it holds valid tax invoices, it received the goods/services, and it paid the suppliers in full including the tax. The credit is not appearing in Form GSTR-2A because the supplier failed to report the supply in its returns — a default of the supplier, over which the noticee has no control. The noticee cannot be made to suffer for the supplier’s omission without the Department first proceeding against the supplier, and the credit ought not to be reversed in the noticee’s hands at the threshold.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noticee satisfies its part of Section 16(2). </w:t>
      </w:r>
      <w:r>
        <w:rPr>
          <w:rFonts w:ascii="Times New Roman" w:cs="Times New Roman" w:eastAsia="Times New Roman" w:hAnsi="Times New Roman"/>
          <w:sz w:val="24"/>
          <w:szCs w:val="24"/>
        </w:rPr>
        <w:t xml:space="preserve">The noticee is in possession of valid tax invoices, has received the goods or services, and has paid the suppliers the value of the supplies together with the tax, as the invoices, transport documents, bank statements and ledgers annexed establish. The conditions of Section 16(2) within the noticee’s control are met.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recipient cannot be penalised for the supplier’s default at the threshold. </w:t>
      </w:r>
      <w:r>
        <w:rPr>
          <w:rFonts w:ascii="Times New Roman" w:cs="Times New Roman" w:eastAsia="Times New Roman" w:hAnsi="Times New Roman"/>
          <w:sz w:val="24"/>
          <w:szCs w:val="24"/>
        </w:rPr>
        <w:t xml:space="preserve">Where the non-reflection arises from the supplier’s failure to report, the credit cannot be denied to the recipient mechanically; the proper course is for the Department to proceed against the defaulting supplier, recovery from the recipient being contemplated only in exceptional circumstances. Reliance is placed on the decision of the Calcutta High Court in Suncraft Energy Pvt. Ltd. and of the Kerala High Court in Diya Agencies; and on the Government’s Press Release dated 04.05.2018, which clarified that there shall be no automatic reversal of credit in the recipient’s hands on account of non-payment by the supplier.</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Opportunity to verify. </w:t>
      </w:r>
      <w:r>
        <w:rPr>
          <w:rFonts w:ascii="Times New Roman" w:cs="Times New Roman" w:eastAsia="Times New Roman" w:hAnsi="Times New Roman"/>
          <w:sz w:val="24"/>
          <w:szCs w:val="24"/>
        </w:rPr>
        <w:t xml:space="preserve">The noticee is willing to furnish such further confirmation as may be obtained from the supplier and to assist in the verification of payment of tax. Any inquiry should, in the first instance, be directed to the supplier.</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Limitation, if raised. </w:t>
      </w:r>
      <w:r>
        <w:rPr>
          <w:rFonts w:ascii="Times New Roman" w:cs="Times New Roman" w:eastAsia="Times New Roman" w:hAnsi="Times New Roman"/>
          <w:sz w:val="24"/>
          <w:szCs w:val="24"/>
        </w:rPr>
        <w:t xml:space="preserve">To the extent the credit pertains to the financial years 2017-18 to 2020-21 and is sought to be denied on the time limit in Section 16(4), the bar is lifted by Section 16(5) for credit availed in returns filed up to 30 November 2021.</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credit be not reversed in the noticee’s hands without the Department first proceeding against the supplier, and that the proceedings be dropped;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2026-06-17T01:59:20.152Z</dcterms:created>
  <dcterms:modified xsi:type="dcterms:W3CDTF">2026-06-17T01:59:20.152Z</dcterms:modified>
</cp:coreProperties>
</file>

<file path=docProps/custom.xml><?xml version="1.0" encoding="utf-8"?>
<Properties xmlns="http://schemas.openxmlformats.org/officeDocument/2006/custom-properties" xmlns:vt="http://schemas.openxmlformats.org/officeDocument/2006/docPropsVTypes"/>
</file>