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FORM GST APL-01</w:t>
      </w:r>
    </w:p>
    <w:p>
      <w:pPr>
        <w:spacing w:after="120"/>
        <w:jc w:val="center"/>
      </w:pPr>
      <w:r>
        <w:rPr>
          <w:rFonts w:ascii="Times New Roman" w:cs="Times New Roman" w:eastAsia="Times New Roman" w:hAnsi="Times New Roman"/>
          <w:b/>
          <w:bCs/>
          <w:sz w:val="24"/>
          <w:szCs w:val="24"/>
        </w:rPr>
        <w:t xml:space="preserve">(Appeal to the Appellate Authority under Section 107 of the CGST Act, 2017) [See Rule 108(1)]</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Signatory tension (carry-forward flag): the source is in a proprietorship form (‘M/s Ram Bajaj and Co’). House style executes as M/s Notice Desk Private Limited by Authorised Signatory/Director. If the appellant is in fact a proprietorship, the APL-01 must be verified/signed by the proprietor — a verification defect can be fatal to admission. Reconcile before filing.</w:t>
      </w:r>
    </w:p>
    <w:p>
      <w:pPr>
        <w:spacing w:after="80"/>
        <w:jc w:val="both"/>
      </w:pPr>
      <w:r>
        <w:rPr>
          <w:rFonts w:ascii="Times New Roman" w:cs="Times New Roman" w:eastAsia="Times New Roman" w:hAnsi="Times New Roman"/>
          <w:i/>
          <w:iCs/>
          <w:sz w:val="24"/>
          <w:szCs w:val="24"/>
        </w:rPr>
        <w:t xml:space="preserve">Core position: a Section 62 best-judgment order (ASMT-13) stands withdrawn under Section 62(2) only if the valid return is filed within the statutory window. The return here was filed AFTER that window, so deemed-withdrawal did not operate and the order can be set aside only in appeal.</w:t>
      </w:r>
    </w:p>
    <w:p>
      <w:pPr>
        <w:spacing w:after="80"/>
        <w:jc w:val="both"/>
      </w:pPr>
      <w:r>
        <w:rPr>
          <w:rFonts w:ascii="Times New Roman" w:cs="Times New Roman" w:eastAsia="Times New Roman" w:hAnsi="Times New Roman"/>
          <w:i/>
          <w:iCs/>
          <w:sz w:val="24"/>
          <w:szCs w:val="24"/>
        </w:rPr>
        <w:t xml:space="preserve">CRITICAL window check: Section 62(2) was 30 days; extended to 60 days by the Finance Act 2023 (Notif 28/2023-CT, w.e.f. 01.10.2023). The 30-day window applies to ASMT-13 orders SERVED BEFORE 01.10.2023; 60 days (plus a further 60-day late-fee window) applies to orders served on/after 01.10.2023. Determine the date of service and state the correct window.</w:t>
      </w:r>
    </w:p>
    <w:p>
      <w:pPr>
        <w:spacing w:after="80"/>
        <w:jc w:val="both"/>
      </w:pPr>
      <w:r>
        <w:rPr>
          <w:rFonts w:ascii="Times New Roman" w:cs="Times New Roman" w:eastAsia="Times New Roman" w:hAnsi="Times New Roman"/>
          <w:i/>
          <w:iCs/>
          <w:sz w:val="24"/>
          <w:szCs w:val="24"/>
        </w:rPr>
        <w:t xml:space="preserve">Pre-deposit: 10% of disputed tax; cap Rs.20 crore each CGST/SGST (w.e.f. 01.11.2024) — NOT Rs.25 crore. Lead the merits on tax already paid + the Madras condonation line (Comfort Shoe Components; Solutions Online).</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1. GSTIN</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____________________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2. Legal name of the appellant</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M/s Notice Desk Private Limited</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3. Address</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____________________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4. Order appealed against – No. and date</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Best-judgment Assessment Order in Form GST ASMT-13 / Summary in Form GST DRC-07 No. ____ dated 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5. Designation of the officer who passed the order</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Proper Officer of State Tax, [Ward]</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6. Date of communication of the order</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 (date the DRC-07 came to the appellant’s knowledge)</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7. Whether appeal within limitation</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Yes – filed within three months of communication</w:t>
            </w:r>
          </w:p>
        </w:tc>
      </w:tr>
    </w:tbl>
    <w:p>
      <w:pPr>
        <w:spacing w:after="160" w:line="276"/>
        <w:jc w:val="both"/>
      </w:pPr>
      <w:r>
        <w:rPr>
          <w:rFonts w:ascii="Times New Roman" w:cs="Times New Roman" w:eastAsia="Times New Roman" w:hAnsi="Times New Roman"/>
          <w:b/>
          <w:bCs/>
          <w:sz w:val="24"/>
          <w:szCs w:val="24"/>
        </w:rPr>
        <w:t xml:space="preserve">14. Amount of demand created, admitted and disputed: </w:t>
      </w:r>
      <w:r>
        <w:rPr>
          <w:rFonts w:ascii="Times New Roman" w:cs="Times New Roman" w:eastAsia="Times New Roman" w:hAnsi="Times New Roman"/>
          <w:sz w:val="24"/>
          <w:szCs w:val="24"/>
        </w:rPr>
        <w:t xml:space="preserve">created Rs. ____ (best judgment); admitted Rs. ____ (tax on actual supplies, since paid); disputed Rs. ____ (excess of the best-judgment demand over the actual liability).</w:t>
      </w:r>
    </w:p>
    <w:p>
      <w:pPr>
        <w:spacing w:after="160" w:line="276"/>
        <w:jc w:val="both"/>
      </w:pPr>
      <w:r>
        <w:rPr>
          <w:rFonts w:ascii="Times New Roman" w:cs="Times New Roman" w:eastAsia="Times New Roman" w:hAnsi="Times New Roman"/>
          <w:b/>
          <w:bCs/>
          <w:sz w:val="24"/>
          <w:szCs w:val="24"/>
        </w:rPr>
        <w:t xml:space="preserve">15. Details of payment of admitted amount and pre-deposit: </w:t>
      </w:r>
      <w:r>
        <w:rPr>
          <w:rFonts w:ascii="Times New Roman" w:cs="Times New Roman" w:eastAsia="Times New Roman" w:hAnsi="Times New Roman"/>
          <w:sz w:val="24"/>
          <w:szCs w:val="24"/>
        </w:rPr>
        <w:t xml:space="preserve">admitted tax of Rs. ____ with interest paid through return / Form GST DRC-03; pre-deposit of 10% of the disputed tax of Rs. ____ (i.e. Rs. ____), subject to a maximum of Rs. 20 crore each in respect of central tax and State tax, paid through the Electronic Cash Ledger vide debit entry No. ____ dated ________.</w:t>
      </w:r>
    </w:p>
    <w:p>
      <w:pPr>
        <w:spacing w:after="120" w:before="160"/>
        <w:jc w:val="left"/>
      </w:pPr>
      <w:r>
        <w:rPr>
          <w:rFonts w:ascii="Times New Roman" w:cs="Times New Roman" w:eastAsia="Times New Roman" w:hAnsi="Times New Roman"/>
          <w:b/>
          <w:bCs/>
          <w:sz w:val="24"/>
          <w:szCs w:val="24"/>
        </w:rPr>
        <w:t xml:space="preserve">ANNEXURE A — Statement of Facts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appellant is engaged in ________. For the tax period ________, the appellant did not furnish the return in Form GSTR-3B under Section 39 within time. A notice in Form GST ASMT-13 was issued under Section 62 and a best-judgment assessment was made, the summary whereof was issued in Form GST DRC-07 (Ref. No. ____ dated ________).</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order in Form GST DRC-07 was served on the common portal and came to the appellant’s knowledge on ________. Thereafter, on ________, the appellant furnished its return in Form GSTR-3B for the said period, declaring its actual supplies and paying the tax due together with interest. As the return was furnished beyond the period prescribed by Section 62(2), the best-judgment order did not stand withdrawn, and the appellant is constrained to file this appeal.</w:t>
      </w:r>
    </w:p>
    <w:p>
      <w:pPr>
        <w:spacing w:after="120" w:before="160"/>
        <w:jc w:val="left"/>
      </w:pPr>
      <w:r>
        <w:rPr>
          <w:rFonts w:ascii="Times New Roman" w:cs="Times New Roman" w:eastAsia="Times New Roman" w:hAnsi="Times New Roman"/>
          <w:b/>
          <w:bCs/>
          <w:sz w:val="24"/>
          <w:szCs w:val="24"/>
        </w:rPr>
        <w:t xml:space="preserve">ANNEXURE B — Grounds of Appeal</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best-judgment order does not survive the actual return. Under Section 62(1), a best-judgment assessment is made only because the return was not furnished; it is a summary, protective measure. The appellant has since furnished its return under Section 39 declaring its actual outward supplies and has paid the tax with interest. The actual liability so determined ought to supersede the estimated best-judgment demand, which is excessive and does not reflect the real turnover.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Deemed withdrawal and the appellate remedy. Section 62(2) provides that where the registered person furnishes a valid return within the prescribed period of the service of the best-judgment order, the said order shall be deemed to have been withdrawn. The said period was thirty days, and stands extended to sixty days for orders served on or after 01.10.2023 (the Finance Act, 2023, as notified). The appellant having furnished the return beyond that period, the order did not stand withdrawn automatically and can be set aside only in appeal; the appellant accordingly invokes this remedy, the tax having in fact been paid.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Tax already paid on actual supplies. The appellant has discharged the tax on its actual supplies for the period together with interest. To recover, in addition, the higher best-judgment demand would be to collect tax twice over and contrary to Article 265. The demand to the extent it exceeds the tax on the actual supplies is liable to be set aside.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Liberal approach to regularisation. The courts have consistently set aside or remitted best-judgment orders under Section 62 where the registered person has filed the return and paid the tax, even belatedly, so that the assessment may be made on the real liability. The appellant’s case is squarely within that approach.</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4"/>
        </w:numPr>
        <w:spacing w:after="160" w:line="276"/>
        <w:jc w:val="both"/>
      </w:pPr>
      <w:r>
        <w:rPr>
          <w:rFonts w:ascii="Times New Roman" w:cs="Times New Roman" w:eastAsia="Times New Roman" w:hAnsi="Times New Roman"/>
          <w:sz w:val="24"/>
          <w:szCs w:val="24"/>
        </w:rPr>
        <w:t xml:space="preserve">It is respectfully prayed that the best-judgment order in Form GST ASMT-13 / DRC-07 be set aside and the assessment be confined to the tax on the appellant’s actual supplies, which stands paid with interest; and, in the alternative, that the matter be remanded for assessment on the actual return.</w:t>
      </w:r>
    </w:p>
    <w:p>
      <w:pPr>
        <w:spacing w:after="160" w:line="276"/>
        <w:jc w:val="both"/>
      </w:pPr>
      <w:r>
        <w:rPr>
          <w:rFonts w:ascii="Times New Roman" w:cs="Times New Roman" w:eastAsia="Times New Roman" w:hAnsi="Times New Roman"/>
          <w:i/>
          <w:iCs/>
          <w:sz w:val="24"/>
          <w:szCs w:val="24"/>
        </w:rPr>
        <w:t xml:space="preserve">The appellant craves leave to add to, alter or amend any of the grounds of appeal at or before the hearing.</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2026-06-17T01:59:20.317Z</dcterms:created>
  <dcterms:modified xsi:type="dcterms:W3CDTF">2026-06-17T01:59:20.317Z</dcterms:modified>
</cp:coreProperties>
</file>

<file path=docProps/custom.xml><?xml version="1.0" encoding="utf-8"?>
<Properties xmlns="http://schemas.openxmlformats.org/officeDocument/2006/custom-properties" xmlns:vt="http://schemas.openxmlformats.org/officeDocument/2006/docPropsVTypes"/>
</file>