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Jaipur,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 Form ASMT-10)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alleging input tax credit availed in Form GSTR-3B in excess of Form GSTR-2A, but within the time limit of Section 16(4), for FY 2017-18, 2018-19 and 2019-20.</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for the pre-Rule-36(4) period (FY 2017-18 and up to 08.10.2019) there was no statutory 2A-matching, so an excess over 2A is not by itself a disallowance ground if Section 16(2) is met. Circular 183 (17-18/18-19) and Circular 193 (01.04.2019–08.10.2019) apply.</w:t>
      </w:r>
    </w:p>
    <w:p>
      <w:pPr>
        <w:spacing w:after="80"/>
        <w:jc w:val="both"/>
      </w:pPr>
      <w:r>
        <w:rPr>
          <w:rFonts w:ascii="Times New Roman" w:cs="Times New Roman" w:eastAsia="Times New Roman" w:hAnsi="Times New Roman"/>
          <w:i/>
          <w:iCs/>
          <w:sz w:val="24"/>
          <w:szCs w:val="24"/>
        </w:rPr>
        <w:t xml:space="preserve">Rule 36(4) phase dates: 20% from 09.10.2019; 10% from 01.01.2020; 5% from 01.01.2021; 2B-only from 01.01.2022. For FY 2019-20 the unlimited protection runs only to 08.10.2019; from 09.10.2019 the 20% cap applies — so segregate the FY 2019-20 figures.</w:t>
      </w:r>
    </w:p>
    <w:p>
      <w:pPr>
        <w:spacing w:after="80"/>
        <w:jc w:val="both"/>
      </w:pPr>
      <w:r>
        <w:rPr>
          <w:rFonts w:ascii="Times New Roman" w:cs="Times New Roman" w:eastAsia="Times New Roman" w:hAnsi="Times New Roman"/>
          <w:i/>
          <w:iCs/>
          <w:sz w:val="24"/>
          <w:szCs w:val="24"/>
        </w:rPr>
        <w:t xml:space="preserve">The credit was availed within the Section 16(4) time limit (i.e., it is not a belated-availment case). Section 16(5) is a further overlay if any time-bar is raised. Live SC challenge to Section 16(2)(c) — re-check. Annex the period-wise working.</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credit was availed within the time limit of Section 16(4) and is supported by valid invoices and receipt of supplies. For the period in question, an excess over Form GSTR-2A is not, by itself, a ground of disallowance: until 09.10.2019 there was no statutory requirement to match the credit with Form GSTR-2A, and thereafter only a specified tolerance applied. The credit satisfies Section 16(2) and is admissible.</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statutory 2A-matching until 09.10.2019. </w:t>
      </w:r>
      <w:r>
        <w:rPr>
          <w:rFonts w:ascii="Times New Roman" w:cs="Times New Roman" w:eastAsia="Times New Roman" w:hAnsi="Times New Roman"/>
          <w:sz w:val="24"/>
          <w:szCs w:val="24"/>
        </w:rPr>
        <w:t xml:space="preserve">For the financial years 2017-18 and 2018-19, and for 2019-20 up to 08.10.2019, input tax credit was governed by the conditions of Section 16(2) and not by a matching with Form GSTR-2A; Rule 36(4) took effect only on 09.10.2019. An excess of the credit availed over Form GSTR-2A for that period is therefore not, by itself, a ground to deny the credit.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Rule 36(4) tolerance for the later period. </w:t>
      </w:r>
      <w:r>
        <w:rPr>
          <w:rFonts w:ascii="Times New Roman" w:cs="Times New Roman" w:eastAsia="Times New Roman" w:hAnsi="Times New Roman"/>
          <w:sz w:val="24"/>
          <w:szCs w:val="24"/>
        </w:rPr>
        <w:t xml:space="preserve">From 09.10.2019 the credit on un-uploaded invoices was permitted up to 20% of the eligible Form GSTR-2A credit (10% from 01.01.2020, 5% from 01.01.2021). For the part of FY 2019-20 falling on or after 09.10.2019, the noticee’s availment was within the applicable tolerance, as the annexed period-wise working shows.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Credit within the Section 16(4) time limit and verifiable. </w:t>
      </w:r>
      <w:r>
        <w:rPr>
          <w:rFonts w:ascii="Times New Roman" w:cs="Times New Roman" w:eastAsia="Times New Roman" w:hAnsi="Times New Roman"/>
          <w:sz w:val="24"/>
          <w:szCs w:val="24"/>
        </w:rPr>
        <w:t xml:space="preserve">The credit was availed within the period permitted by Section 16(4) and is supported by valid invoices and proof of receipt and payment. To the extent any verification of the difference is required, the mechanism in Circular 183/15/2022-GST (for 2017-18 and 2018-19) and Circular 193/05/2023-GST (for 01.04.2019 onward) applies, and the noticee furnishes the requisite material. In any event, any reliance on Section 16(4) is answered by Section 16(5) for returns filed up to 30 November 2021.</w:t>
      </w:r>
      <w:r>
        <w:rPr>
          <w:rFonts w:ascii="Times New Roman" w:cs="Times New Roman" w:eastAsia="Times New Roman" w:hAnsi="Times New Roman"/>
          <w:b/>
          <w:bCs/>
          <w:sz w:val="24"/>
          <w:szCs w:val="24"/>
        </w:rPr>
        <w:t xml:space="preserve"> [VERIFY]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proceedings be dropped, the credit being within Section 16(4), supported by valid documents, and not deniable merely on an excess over Form GSTR-2A for the relevant period;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2026-06-17T01:59:20.434Z</dcterms:created>
  <dcterms:modified xsi:type="dcterms:W3CDTF">2026-06-17T01:59:20.434Z</dcterms:modified>
</cp:coreProperties>
</file>

<file path=docProps/custom.xml><?xml version="1.0" encoding="utf-8"?>
<Properties xmlns="http://schemas.openxmlformats.org/officeDocument/2006/custom-properties" xmlns:vt="http://schemas.openxmlformats.org/officeDocument/2006/docPropsVTypes"/>
</file>