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Times New Roman" w:cs="Times New Roman" w:eastAsia="Times New Roman" w:hAnsi="Times New Roman"/>
          <w:sz w:val="24"/>
          <w:szCs w:val="24"/>
        </w:rPr>
        <w:t xml:space="preserve">To,</w:t>
      </w:r>
    </w:p>
    <w:p>
      <w:pPr>
        <w:spacing w:after="20"/>
      </w:pPr>
      <w:r>
        <w:rPr>
          <w:rFonts w:ascii="Times New Roman" w:cs="Times New Roman" w:eastAsia="Times New Roman" w:hAnsi="Times New Roman"/>
          <w:sz w:val="24"/>
          <w:szCs w:val="24"/>
        </w:rPr>
        <w:t xml:space="preserve">The State Tax Officer / Refund Sanctioning Authority,</w:t>
      </w:r>
    </w:p>
    <w:p>
      <w:pPr>
        <w:spacing w:after="20"/>
      </w:pPr>
      <w:r>
        <w:rPr>
          <w:rFonts w:ascii="Times New Roman" w:cs="Times New Roman" w:eastAsia="Times New Roman" w:hAnsi="Times New Roman"/>
          <w:sz w:val="24"/>
          <w:szCs w:val="24"/>
        </w:rPr>
        <w:t xml:space="preserve">Goods and Services Tax, Bikaner, Rajasthan</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GSTIN: ____________________</w:t>
      </w:r>
    </w:p>
    <w:p>
      <w:pPr>
        <w:spacing w:after="20"/>
      </w:pPr>
      <w:r>
        <w:rPr>
          <w:rFonts w:ascii="Times New Roman" w:cs="Times New Roman" w:eastAsia="Times New Roman" w:hAnsi="Times New Roman"/>
          <w:sz w:val="24"/>
          <w:szCs w:val="24"/>
        </w:rPr>
        <w:t xml:space="preserve">Trade Name: M/s Notice Desk Private Limited</w:t>
      </w:r>
    </w:p>
    <w:p>
      <w:pPr>
        <w:spacing w:after="20"/>
      </w:pPr>
      <w:r>
        <w:rPr>
          <w:rFonts w:ascii="Times New Roman" w:cs="Times New Roman" w:eastAsia="Times New Roman" w:hAnsi="Times New Roman"/>
          <w:sz w:val="24"/>
          <w:szCs w:val="24"/>
        </w:rPr>
        <w:t xml:space="preserve">Reference (SCN / Form RFD-08) No.: ____________  dated __________</w:t>
      </w:r>
    </w:p>
    <w:p>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communication proposing reversal of accumulated compensation cess credit / rejection of the refund thereof, where the noticee’s output is taxable under GST but not leviable to compensation cess.</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where the finished goods are taxable under GST but bear NIL/no compensation cess, the outward supply is to be treated as an exempt supply for cess purposes; the accumulated cess ITC on inputs is either (a) governed by Section 17(2)/Rule 42-43 apportionment for cess, or (b) refundable under Section 54(3)/Rule 89(4) where the accumulation is on inputs used for zero-rated exports.</w:t>
      </w:r>
    </w:p>
    <w:p>
      <w:pPr>
        <w:spacing w:after="80"/>
        <w:jc w:val="both"/>
      </w:pPr>
      <w:r>
        <w:rPr>
          <w:rFonts w:ascii="Times New Roman" w:cs="Times New Roman" w:eastAsia="Times New Roman" w:hAnsi="Times New Roman"/>
          <w:i/>
          <w:iCs/>
          <w:sz w:val="24"/>
          <w:szCs w:val="24"/>
        </w:rPr>
        <w:t xml:space="preserve">Authority: Electrosteel Castings (Cal HC, WPA 17567/2021 w/ 12676/2021, 10.06.2022) — nil-cess goods are exempt for the Rule 89(4) formula. Refundability of unutilised cess ITC on inputs for exports is now settled up to the Supreme Court: Patson Papers (Guj HC, 28.03.2025; SC declined to interfere 28.10.2025) and Atul Ltd (Guj HC, 24.07.2025; SC affirmed 13.02.2026). These are SLP dispositions — cite the Gujarat HC rulings as the ratio.</w:t>
      </w:r>
    </w:p>
    <w:p>
      <w:pPr>
        <w:spacing w:after="80"/>
        <w:jc w:val="both"/>
      </w:pPr>
      <w:r>
        <w:rPr>
          <w:rFonts w:ascii="Times New Roman" w:cs="Times New Roman" w:eastAsia="Times New Roman" w:hAnsi="Times New Roman"/>
          <w:i/>
          <w:iCs/>
          <w:sz w:val="24"/>
          <w:szCs w:val="24"/>
        </w:rPr>
        <w:t xml:space="preserve">DISTINGUISH two situations: (i) exports — refund is settled in the assessee’s favour; (ii) domestic stock stranded after GST 2.0 nil-rating (Notif 02/2025-Compensation Cess (Rate), eff. 22.09.2025) — the Section 18(4) reversal-vs-refund question is UNSETTLED and before the Supreme Court (FADA / Carbon Resources, listed 25.03.2026). Re-check before filing. Tailor the draft to which situation applies; annex the inverted-rate / export working.</w:t>
      </w:r>
    </w:p>
    <w:p>
      <w:r>
        <w:rPr>
          <w:rFonts w:ascii="Times New Roman" w:cs="Times New Roman" w:eastAsia="Times New Roman" w:hAnsi="Times New Roman"/>
          <w:sz w:val="24"/>
          <w:szCs w:val="24"/>
        </w:rPr>
        <w:t xml:space="preserve"/>
      </w:r>
    </w:p>
    <w:p>
      <w:pPr>
        <w:spacing w:after="80" w:before="120"/>
      </w:pPr>
      <w:r>
        <w:rPr>
          <w:rFonts w:ascii="Times New Roman" w:cs="Times New Roman" w:eastAsia="Times New Roman" w:hAnsi="Times New Roman"/>
          <w:b/>
          <w:bCs/>
          <w:sz w:val="24"/>
          <w:szCs w:val="24"/>
        </w:rPr>
        <w:t xml:space="preserve">Synopsis</w:t>
      </w:r>
    </w:p>
    <w:p>
      <w:pPr>
        <w:spacing w:after="120"/>
        <w:jc w:val="both"/>
      </w:pPr>
      <w:r>
        <w:rPr>
          <w:rFonts w:ascii="Times New Roman" w:cs="Times New Roman" w:eastAsia="Times New Roman" w:hAnsi="Times New Roman"/>
          <w:sz w:val="24"/>
          <w:szCs w:val="24"/>
        </w:rPr>
        <w:t xml:space="preserve">The noticee’s finished goods are taxable under GST but are not leviable to compensation cess. Credit of compensation cess borne on inputs has therefore accumulated. Such accumulation is not a ground for a bald reversal: for the purpose of the cess, a supply that bears no cess is to be treated as an exempt supply, and the credit is either apportioned under Section 17(2) read with Rule 42/43 or, where it has accumulated on inputs used in zero-rated exports, refundable under Section 54(3) read with Rule 89(4). The proposal to reverse / reject is misconceived.</w:t>
      </w:r>
    </w:p>
    <w:p>
      <w:pPr>
        <w:spacing w:after="80" w:before="120"/>
      </w:pPr>
      <w:r>
        <w:rPr>
          <w:rFonts w:ascii="Times New Roman" w:cs="Times New Roman" w:eastAsia="Times New Roman" w:hAnsi="Times New Roman"/>
          <w:b/>
          <w:bCs/>
          <w:sz w:val="24"/>
          <w:szCs w:val="24"/>
        </w:rPr>
        <w:t xml:space="preserve">Submissions</w:t>
      </w:r>
    </w:p>
    <w:p>
      <w:pPr>
        <w:pStyle w:val="ListParagraph"/>
        <w:numPr>
          <w:ilvl w:val="0"/>
          <w:numId w:val="2"/>
        </w:numPr>
        <w:spacing w:after="120"/>
        <w:jc w:val="both"/>
      </w:pPr>
      <w:r>
        <w:rPr>
          <w:rFonts w:ascii="Times New Roman" w:cs="Times New Roman" w:eastAsia="Times New Roman" w:hAnsi="Times New Roman"/>
          <w:b/>
          <w:bCs/>
          <w:sz w:val="24"/>
          <w:szCs w:val="24"/>
        </w:rPr>
        <w:t xml:space="preserve">Nil-cess output is an exempt supply for cess purposes. </w:t>
      </w:r>
      <w:r>
        <w:rPr>
          <w:rFonts w:ascii="Times New Roman" w:cs="Times New Roman" w:eastAsia="Times New Roman" w:hAnsi="Times New Roman"/>
          <w:sz w:val="24"/>
          <w:szCs w:val="24"/>
        </w:rPr>
        <w:t xml:space="preserve">Where the outward supply attracts no compensation cess, it is to be treated, for the purpose of the cess, as an exempt supply. As held by the Calcutta High Court in Principal Commissioner, CGST &amp; CX, Kolkata North v. Electrosteel Castings Ltd. (10.06.2022), goods attracting a nil rate of compensation cess are to be construed as exempt supplies while computing the adjusted total turnover under Rule 89(4).</w:t>
      </w:r>
      <w:r>
        <w:rPr>
          <w:rFonts w:ascii="Times New Roman" w:cs="Times New Roman" w:eastAsia="Times New Roman" w:hAnsi="Times New Roman"/>
          <w:b/>
          <w:bCs/>
          <w:sz w:val="24"/>
          <w:szCs w:val="24"/>
        </w:rPr>
        <w:t xml:space="preserve"> [VERIFY]</w:t>
      </w:r>
    </w:p>
    <w:p>
      <w:pPr>
        <w:pStyle w:val="ListParagraph"/>
        <w:numPr>
          <w:ilvl w:val="0"/>
          <w:numId w:val="2"/>
        </w:numPr>
        <w:spacing w:after="120"/>
        <w:jc w:val="both"/>
      </w:pPr>
      <w:r>
        <w:rPr>
          <w:rFonts w:ascii="Times New Roman" w:cs="Times New Roman" w:eastAsia="Times New Roman" w:hAnsi="Times New Roman"/>
          <w:b/>
          <w:bCs/>
          <w:sz w:val="24"/>
          <w:szCs w:val="24"/>
        </w:rPr>
        <w:t xml:space="preserve">Accumulated cess on export inputs is refundable. </w:t>
      </w:r>
      <w:r>
        <w:rPr>
          <w:rFonts w:ascii="Times New Roman" w:cs="Times New Roman" w:eastAsia="Times New Roman" w:hAnsi="Times New Roman"/>
          <w:sz w:val="24"/>
          <w:szCs w:val="24"/>
        </w:rPr>
        <w:t xml:space="preserve">Where the cess has accumulated on inputs used in the manufacture of goods exported (a zero-rated supply), the refund of the unutilised cess credit is admissible under Section 54(3) read with Rule 89(4); the provisions of the CGST Act apply to the compensation cess by virtue of Section 11 of the Goods and Services Tax (Compensation to States) Act, 2017. This is settled by the Gujarat High Court in Patson Papers Pvt. Ltd. (28.03.2025) and Atul Limited (24.07.2025), from which the Revenue’s special leave petitions were not entertained by the Supreme Court.</w:t>
      </w:r>
      <w:r>
        <w:rPr>
          <w:rFonts w:ascii="Times New Roman" w:cs="Times New Roman" w:eastAsia="Times New Roman" w:hAnsi="Times New Roman"/>
          <w:b/>
          <w:bCs/>
          <w:sz w:val="24"/>
          <w:szCs w:val="24"/>
        </w:rPr>
        <w:t xml:space="preserve"> [VERIFY]</w:t>
      </w:r>
    </w:p>
    <w:p>
      <w:pPr>
        <w:pStyle w:val="ListParagraph"/>
        <w:numPr>
          <w:ilvl w:val="0"/>
          <w:numId w:val="2"/>
        </w:numPr>
        <w:spacing w:after="120"/>
        <w:jc w:val="both"/>
      </w:pPr>
      <w:r>
        <w:rPr>
          <w:rFonts w:ascii="Times New Roman" w:cs="Times New Roman" w:eastAsia="Times New Roman" w:hAnsi="Times New Roman"/>
          <w:b/>
          <w:bCs/>
          <w:sz w:val="24"/>
          <w:szCs w:val="24"/>
        </w:rPr>
        <w:t xml:space="preserve">No ground for reversal. </w:t>
      </w:r>
      <w:r>
        <w:rPr>
          <w:rFonts w:ascii="Times New Roman" w:cs="Times New Roman" w:eastAsia="Times New Roman" w:hAnsi="Times New Roman"/>
          <w:sz w:val="24"/>
          <w:szCs w:val="24"/>
        </w:rPr>
        <w:t xml:space="preserve">There being either a proper apportionment under Section 17(2) or a refund entitlement under Section 54(3), the accumulated credit is not liable to be reversed. The working of the cess credit and its attribution is annexed.</w:t>
      </w:r>
    </w:p>
    <w:p>
      <w:pPr>
        <w:spacing w:after="80" w:before="120"/>
      </w:pPr>
      <w:r>
        <w:rPr>
          <w:rFonts w:ascii="Times New Roman" w:cs="Times New Roman" w:eastAsia="Times New Roman" w:hAnsi="Times New Roman"/>
          <w:b/>
          <w:bCs/>
          <w:sz w:val="24"/>
          <w:szCs w:val="24"/>
        </w:rPr>
        <w:t xml:space="preserve">Prayer</w:t>
      </w:r>
    </w:p>
    <w:p>
      <w:pPr>
        <w:pStyle w:val="ListParagraph"/>
        <w:numPr>
          <w:ilvl w:val="0"/>
          <w:numId w:val="3"/>
        </w:numPr>
        <w:spacing w:after="120"/>
        <w:jc w:val="both"/>
      </w:pPr>
      <w:r>
        <w:rPr>
          <w:rFonts w:ascii="Times New Roman" w:cs="Times New Roman" w:eastAsia="Times New Roman" w:hAnsi="Times New Roman"/>
          <w:sz w:val="24"/>
          <w:szCs w:val="24"/>
        </w:rPr>
        <w:t xml:space="preserve">It is respectfully prayed that the proposed reversal be dropped / the refund of the accumulated compensation cess credit of Rs. ____ be sanctioned with applicable interest, the output being taxable under GST though not leviable to compensation cess; and that an opportunity of personal hearing be granted before any adverse order.</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2026-08-08T11:03:30.706Z</dcterms:created>
  <dcterms:modified xsi:type="dcterms:W3CDTF">2026-08-08T11:03:30.706Z</dcterms:modified>
</cp:coreProperties>
</file>

<file path=docProps/custom.xml><?xml version="1.0" encoding="utf-8"?>
<Properties xmlns="http://schemas.openxmlformats.org/officeDocument/2006/custom-properties" xmlns:vt="http://schemas.openxmlformats.org/officeDocument/2006/docPropsVTypes"/>
</file>