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Note: Section 129 is attracted only in cases of evasion of tax, and not for a mere procedural or technical lapse</w:t>
      </w:r>
    </w:p>
    <w:p>
      <w:r>
        <w:rPr>
          <w:rFonts w:ascii="Times New Roman" w:cs="Times New Roman" w:eastAsia="Times New Roman" w:hAnsi="Times New Roman"/>
          <w:sz w:val="24"/>
          <w:szCs w:val="24"/>
        </w:rPr>
        <w:t xml:space="preserve"/>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This is a legal note (not a party letter). Core proposition: detention and penalty under Section 129 require an intent to evade tax; a technical/procedural lapse, without mens rea, does not attract Section 129.</w:t>
      </w:r>
    </w:p>
    <w:p>
      <w:pPr>
        <w:spacing w:after="80"/>
        <w:jc w:val="both"/>
      </w:pPr>
      <w:r>
        <w:rPr>
          <w:rFonts w:ascii="Times New Roman" w:cs="Times New Roman" w:eastAsia="Times New Roman" w:hAnsi="Times New Roman"/>
          <w:i/>
          <w:iCs/>
          <w:sz w:val="24"/>
          <w:szCs w:val="24"/>
        </w:rPr>
        <w:t xml:space="preserve">Authority: Mid Town Associates (Allahabad HC, Writ Tax No. 433 of 2020) — e-way bill downloaded before interception, invoice + e-way bill matched the goods, no mens rea, penalty set aside (re-confirm the 09.05.2024 date on the HC portal); Assistant Commissioner (ST) v. Satyam Shivam Papers (SC, SLP(C) 21132/2021, 12.01.2022, affirming Telangana HC — cite the HC as the ratio, the SC only declined interference); Hindustan Herbal Cosmetics (Allahabad HC, 02.01.2024).</w:t>
      </w:r>
    </w:p>
    <w:p>
      <w:pPr>
        <w:spacing w:after="80"/>
        <w:jc w:val="both"/>
      </w:pPr>
      <w:r>
        <w:rPr>
          <w:rFonts w:ascii="Times New Roman" w:cs="Times New Roman" w:eastAsia="Times New Roman" w:hAnsi="Times New Roman"/>
          <w:i/>
          <w:iCs/>
          <w:sz w:val="24"/>
          <w:szCs w:val="24"/>
        </w:rPr>
        <w:t xml:space="preserve">CONTRARY line to be distinguished, not ignored: Akhilesh Traders (20.02.2024), Jhansi Enterprises (01.03.2024), Lalitpur Power Generation (15.04.2025) — where goods move WITHOUT invoice/e-way bill a rebuttable presumption of evasion arises. Distinguishing factor: the e-way bill existed / was generated before interception and the documents matched. Frame facts into that bucket.</w:t>
      </w:r>
    </w:p>
    <w:p>
      <w:r>
        <w:rPr>
          <w:rFonts w:ascii="Times New Roman" w:cs="Times New Roman" w:eastAsia="Times New Roman" w:hAnsi="Times New Roman"/>
          <w:sz w:val="24"/>
          <w:szCs w:val="24"/>
        </w:rPr>
        <w:t xml:space="preserve"/>
      </w:r>
    </w:p>
    <w:p>
      <w:pPr>
        <w:spacing w:after="80" w:before="120"/>
      </w:pPr>
      <w:r>
        <w:rPr>
          <w:rFonts w:ascii="Times New Roman" w:cs="Times New Roman" w:eastAsia="Times New Roman" w:hAnsi="Times New Roman"/>
          <w:b/>
          <w:bCs/>
          <w:sz w:val="24"/>
          <w:szCs w:val="24"/>
        </w:rPr>
        <w:t xml:space="preserve">The proposition</w:t>
      </w:r>
    </w:p>
    <w:p>
      <w:pPr>
        <w:spacing w:after="120"/>
        <w:jc w:val="both"/>
      </w:pPr>
      <w:r>
        <w:rPr>
          <w:rFonts w:ascii="Times New Roman" w:cs="Times New Roman" w:eastAsia="Times New Roman" w:hAnsi="Times New Roman"/>
          <w:sz w:val="24"/>
          <w:szCs w:val="24"/>
        </w:rPr>
        <w:t xml:space="preserve">Section 129 of the CGST Act provides for detention, seizure and release of goods and conveyances in transit that are moved in contravention of the Act or the rules. Although the opening words are wide, it is settled that the provision is aimed at evasion of tax: detention and the consequent penalty are attracted where there is an intent to evade tax, and not for a mere procedural or technical lapse committed bona fide.</w:t>
      </w:r>
    </w:p>
    <w:p>
      <w:pPr>
        <w:spacing w:after="80" w:before="120"/>
      </w:pPr>
      <w:r>
        <w:rPr>
          <w:rFonts w:ascii="Times New Roman" w:cs="Times New Roman" w:eastAsia="Times New Roman" w:hAnsi="Times New Roman"/>
          <w:b/>
          <w:bCs/>
          <w:sz w:val="24"/>
          <w:szCs w:val="24"/>
        </w:rPr>
        <w:t xml:space="preserve">The authorities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Mens rea is a sine qua non. </w:t>
      </w:r>
      <w:r>
        <w:rPr>
          <w:rFonts w:ascii="Times New Roman" w:cs="Times New Roman" w:eastAsia="Times New Roman" w:hAnsi="Times New Roman"/>
          <w:sz w:val="24"/>
          <w:szCs w:val="24"/>
        </w:rPr>
        <w:t xml:space="preserve">In Assistant Commissioner (ST) v. Satyam Shivam Papers Pvt. Ltd., the Telangana High Court held (and the Supreme Court declined to interfere, on 12.01.2022, with costs) that the presence of an intention to evade tax is a sine qua non for the imposition of a penalty under Section 129; a difficulty in transit beyond the taxpayer’s control, absent any intent to evade, does not attract the provision.</w:t>
      </w:r>
      <w:r>
        <w:rPr>
          <w:rFonts w:ascii="Times New Roman" w:cs="Times New Roman" w:eastAsia="Times New Roman" w:hAnsi="Times New Roman"/>
          <w:b/>
          <w:bCs/>
          <w:sz w:val="24"/>
          <w:szCs w:val="24"/>
        </w:rPr>
        <w:t xml:space="preserve"> [VERIFY]</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Technical e-way-bill lapses do not attract Section 129. </w:t>
      </w:r>
      <w:r>
        <w:rPr>
          <w:rFonts w:ascii="Times New Roman" w:cs="Times New Roman" w:eastAsia="Times New Roman" w:hAnsi="Times New Roman"/>
          <w:sz w:val="24"/>
          <w:szCs w:val="24"/>
        </w:rPr>
        <w:t xml:space="preserve">In Mid Town Associates v. Additional Commissioner Grade-2 (Appeal), the Allahabad High Court set aside a penalty where the e-way bill had been downloaded before the interception of the vehicle, and the invoice and the e-way bill matched the goods, holding that the only violation was technical and disclosed no intent to evade. To the same effect is Hindustan Herbal Cosmetics v. State of U.P., holding that a typographical/technical error without material showing intent to evade cannot found a penalty under Section 129.</w:t>
      </w:r>
      <w:r>
        <w:rPr>
          <w:rFonts w:ascii="Times New Roman" w:cs="Times New Roman" w:eastAsia="Times New Roman" w:hAnsi="Times New Roman"/>
          <w:b/>
          <w:bCs/>
          <w:sz w:val="24"/>
          <w:szCs w:val="24"/>
        </w:rPr>
        <w:t xml:space="preserve"> [VERIFY]</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The limits of the proposition. </w:t>
      </w:r>
      <w:r>
        <w:rPr>
          <w:rFonts w:ascii="Times New Roman" w:cs="Times New Roman" w:eastAsia="Times New Roman" w:hAnsi="Times New Roman"/>
          <w:sz w:val="24"/>
          <w:szCs w:val="24"/>
        </w:rPr>
        <w:t xml:space="preserve">The proposition protects bona fide lapses. Where goods are moved without an invoice or e-way bill at all, a rebuttable presumption of an intent to evade may arise, and the mere subsequent production of documents may not absolve the person (as some decisions have held). The distinction turns on whether the required document existed and was generated before interception and whether the documents otherwise matched the goods — which is the case here.</w:t>
      </w:r>
    </w:p>
    <w:p>
      <w:pPr>
        <w:spacing w:after="80" w:before="120"/>
      </w:pPr>
      <w:r>
        <w:rPr>
          <w:rFonts w:ascii="Times New Roman" w:cs="Times New Roman" w:eastAsia="Times New Roman" w:hAnsi="Times New Roman"/>
          <w:b/>
          <w:bCs/>
          <w:sz w:val="24"/>
          <w:szCs w:val="24"/>
        </w:rPr>
        <w:t xml:space="preserve">Conclusion</w:t>
      </w:r>
    </w:p>
    <w:p>
      <w:pPr>
        <w:spacing w:after="120"/>
        <w:jc w:val="both"/>
      </w:pPr>
      <w:r>
        <w:rPr>
          <w:rFonts w:ascii="Times New Roman" w:cs="Times New Roman" w:eastAsia="Times New Roman" w:hAnsi="Times New Roman"/>
          <w:sz w:val="24"/>
          <w:szCs w:val="24"/>
        </w:rPr>
        <w:t xml:space="preserve">Accordingly, where the contravention is a bona fide procedural or technical lapse, the documents existed before interception and matched the goods, and there is no intent to evade tax, a penalty under Section 129 is not sustainable; at most, the minor-discrepancy consequences under the Board’s Circular 64/38/2018-GST apply.</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2026-08-08T11:03:30.972Z</dcterms:created>
  <dcterms:modified xsi:type="dcterms:W3CDTF">2026-08-08T11:03:30.972Z</dcterms:modified>
</cp:coreProperties>
</file>

<file path=docProps/custom.xml><?xml version="1.0" encoding="utf-8"?>
<Properties xmlns="http://schemas.openxmlformats.org/officeDocument/2006/custom-properties" xmlns:vt="http://schemas.openxmlformats.org/officeDocument/2006/docPropsVTypes"/>
</file>