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Times New Roman" w:cs="Times New Roman" w:eastAsia="Times New Roman" w:hAnsi="Times New Roman"/>
          <w:sz w:val="24"/>
          <w:szCs w:val="24"/>
        </w:rPr>
        <w:t xml:space="preserve">To,</w:t>
      </w:r>
    </w:p>
    <w:p>
      <w:pPr>
        <w:spacing w:after="20"/>
      </w:pPr>
      <w:r>
        <w:rPr>
          <w:rFonts w:ascii="Times New Roman" w:cs="Times New Roman" w:eastAsia="Times New Roman" w:hAnsi="Times New Roman"/>
          <w:sz w:val="24"/>
          <w:szCs w:val="24"/>
        </w:rPr>
        <w:t xml:space="preserve">The State Tax Officer,</w:t>
      </w:r>
    </w:p>
    <w:p>
      <w:pPr>
        <w:spacing w:after="20"/>
      </w:pPr>
      <w:r>
        <w:rPr>
          <w:rFonts w:ascii="Times New Roman" w:cs="Times New Roman" w:eastAsia="Times New Roman" w:hAnsi="Times New Roman"/>
          <w:sz w:val="24"/>
          <w:szCs w:val="24"/>
        </w:rPr>
        <w:t xml:space="preserve">Goods and Services Tax, Bikaner, Rajasthan</w:t>
      </w:r>
    </w:p>
    <w:p>
      <w:r>
        <w:rPr>
          <w:rFonts w:ascii="Times New Roman" w:cs="Times New Roman" w:eastAsia="Times New Roman" w:hAnsi="Times New Roman"/>
          <w:sz w:val="24"/>
          <w:szCs w:val="24"/>
        </w:rPr>
        <w:t xml:space="preserve"/>
      </w:r>
    </w:p>
    <w:p>
      <w:pPr>
        <w:spacing w:after="20"/>
      </w:pPr>
      <w:r>
        <w:rPr>
          <w:rFonts w:ascii="Times New Roman" w:cs="Times New Roman" w:eastAsia="Times New Roman" w:hAnsi="Times New Roman"/>
          <w:sz w:val="24"/>
          <w:szCs w:val="24"/>
        </w:rPr>
        <w:t xml:space="preserve">GSTIN: ____________________</w:t>
      </w:r>
    </w:p>
    <w:p>
      <w:pPr>
        <w:spacing w:after="20"/>
      </w:pPr>
      <w:r>
        <w:rPr>
          <w:rFonts w:ascii="Times New Roman" w:cs="Times New Roman" w:eastAsia="Times New Roman" w:hAnsi="Times New Roman"/>
          <w:sz w:val="24"/>
          <w:szCs w:val="24"/>
        </w:rPr>
        <w:t xml:space="preserve">Trade Name: M/s Notice Desk Private Limited</w:t>
      </w:r>
    </w:p>
    <w:p>
      <w:pPr>
        <w:spacing w:after="20"/>
      </w:pPr>
      <w:r>
        <w:rPr>
          <w:rFonts w:ascii="Times New Roman" w:cs="Times New Roman" w:eastAsia="Times New Roman" w:hAnsi="Times New Roman"/>
          <w:sz w:val="24"/>
          <w:szCs w:val="24"/>
        </w:rPr>
        <w:t xml:space="preserve">Form GST ASMT-10 Reference No.: ____________  dated __________</w:t>
      </w:r>
    </w:p>
    <w:p>
      <w:r>
        <w:rPr>
          <w:rFonts w:ascii="Times New Roman" w:cs="Times New Roman" w:eastAsia="Times New Roman" w:hAnsi="Times New Roman"/>
          <w:sz w:val="24"/>
          <w:szCs w:val="24"/>
        </w:rPr>
        <w:t xml:space="preserve"/>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notice in Form GST ASMT-10 under Section 61, which requires an explanation within 15 days, and request for the statutory period of 30 days to respond.</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CORRECTION of the notice: the explanation period in Form GST ASMT-11 is THIRTY days from service (or such further period as may be permitted) — Section 61(3) and Rule 99(2). A 15-day deadline in the ASMT-10 is contrary to the rule; the noticee is entitled to 30 days and may seek further time (Instruction 02/2022-GST).</w:t>
      </w:r>
    </w:p>
    <w:p>
      <w:pPr>
        <w:spacing w:after="80"/>
        <w:jc w:val="both"/>
      </w:pPr>
      <w:r>
        <w:rPr>
          <w:rFonts w:ascii="Times New Roman" w:cs="Times New Roman" w:eastAsia="Times New Roman" w:hAnsi="Times New Roman"/>
          <w:i/>
          <w:iCs/>
          <w:sz w:val="24"/>
          <w:szCs w:val="24"/>
        </w:rPr>
        <w:t xml:space="preserve">Sequence: ASMT-10 (discrepancy) → ASMT-11 (reply) → ASMT-12 (acceptance) or escalation to Section 65/66/67/73/74. Add that any adjudication cannot travel beyond the discrepancies set out in the ASMT-10.</w:t>
      </w:r>
    </w:p>
    <w:p>
      <w:pPr>
        <w:spacing w:after="80"/>
        <w:jc w:val="both"/>
      </w:pPr>
      <w:r>
        <w:rPr>
          <w:rFonts w:ascii="Times New Roman" w:cs="Times New Roman" w:eastAsia="Times New Roman" w:hAnsi="Times New Roman"/>
          <w:i/>
          <w:iCs/>
          <w:sz w:val="24"/>
          <w:szCs w:val="24"/>
        </w:rPr>
        <w:t xml:space="preserve">Insert the FY and the discrepancy alleged. This reply seeks time and reserves the merits.</w:t>
      </w:r>
    </w:p>
    <w:p>
      <w:r>
        <w:rPr>
          <w:rFonts w:ascii="Times New Roman" w:cs="Times New Roman" w:eastAsia="Times New Roman" w:hAnsi="Times New Roman"/>
          <w:sz w:val="24"/>
          <w:szCs w:val="24"/>
        </w:rPr>
        <w:t xml:space="preserve"/>
      </w:r>
    </w:p>
    <w:p>
      <w:pPr>
        <w:spacing w:after="80" w:before="120"/>
      </w:pPr>
      <w:r>
        <w:rPr>
          <w:rFonts w:ascii="Times New Roman" w:cs="Times New Roman" w:eastAsia="Times New Roman" w:hAnsi="Times New Roman"/>
          <w:b/>
          <w:bCs/>
          <w:sz w:val="24"/>
          <w:szCs w:val="24"/>
        </w:rPr>
        <w:t xml:space="preserve">Synopsis</w:t>
      </w:r>
    </w:p>
    <w:p>
      <w:pPr>
        <w:spacing w:after="120"/>
        <w:jc w:val="both"/>
      </w:pPr>
      <w:r>
        <w:rPr>
          <w:rFonts w:ascii="Times New Roman" w:cs="Times New Roman" w:eastAsia="Times New Roman" w:hAnsi="Times New Roman"/>
          <w:sz w:val="24"/>
          <w:szCs w:val="24"/>
        </w:rPr>
        <w:t xml:space="preserve">The notice in Form GST ASMT-10 calls upon the noticee to furnish its explanation within fifteen days. That period is contrary to the statute: under Section 61(3) read with Rule 99(2), the registered person is to be allowed thirty days from the service of the notice, or such further period as may be permitted, to furnish its explanation. The noticee seeks the statutory period of thirty days (and, if required, further time) to respond in Form GST ASMT-11.</w:t>
      </w:r>
    </w:p>
    <w:p>
      <w:pPr>
        <w:spacing w:after="80" w:before="120"/>
      </w:pPr>
      <w:r>
        <w:rPr>
          <w:rFonts w:ascii="Times New Roman" w:cs="Times New Roman" w:eastAsia="Times New Roman" w:hAnsi="Times New Roman"/>
          <w:b/>
          <w:bCs/>
          <w:sz w:val="24"/>
          <w:szCs w:val="24"/>
        </w:rPr>
        <w:t xml:space="preserve">Submissions</w:t>
      </w:r>
    </w:p>
    <w:p>
      <w:pPr>
        <w:pStyle w:val="ListParagraph"/>
        <w:numPr>
          <w:ilvl w:val="0"/>
          <w:numId w:val="2"/>
        </w:numPr>
        <w:spacing w:after="120"/>
        <w:jc w:val="both"/>
      </w:pPr>
      <w:r>
        <w:rPr>
          <w:rFonts w:ascii="Times New Roman" w:cs="Times New Roman" w:eastAsia="Times New Roman" w:hAnsi="Times New Roman"/>
          <w:b/>
          <w:bCs/>
          <w:sz w:val="24"/>
          <w:szCs w:val="24"/>
        </w:rPr>
        <w:t xml:space="preserve">The statutory period is thirty days. </w:t>
      </w:r>
      <w:r>
        <w:rPr>
          <w:rFonts w:ascii="Times New Roman" w:cs="Times New Roman" w:eastAsia="Times New Roman" w:hAnsi="Times New Roman"/>
          <w:sz w:val="24"/>
          <w:szCs w:val="24"/>
        </w:rPr>
        <w:t xml:space="preserve">Section 61(3) provides that where the explanation is not furnished within a period of thirty days of being informed, or such further period as may be permitted, the proper officer may take further action. Rule 99(2) correspondingly requires the proper officer, on receipt of an explanation in Form GST ASMT-11, to inform acceptance in Form GST ASMT-12, and allows the registered person to furnish the explanation within thirty days of the service of the notice or such further period as may be permitted. A period of fifteen days is contrary to the rule.</w:t>
      </w:r>
    </w:p>
    <w:p>
      <w:pPr>
        <w:pStyle w:val="ListParagraph"/>
        <w:numPr>
          <w:ilvl w:val="0"/>
          <w:numId w:val="2"/>
        </w:numPr>
        <w:spacing w:after="120"/>
        <w:jc w:val="both"/>
      </w:pPr>
      <w:r>
        <w:rPr>
          <w:rFonts w:ascii="Times New Roman" w:cs="Times New Roman" w:eastAsia="Times New Roman" w:hAnsi="Times New Roman"/>
          <w:b/>
          <w:bCs/>
          <w:sz w:val="24"/>
          <w:szCs w:val="24"/>
        </w:rPr>
        <w:t xml:space="preserve">Request for the statutory period. </w:t>
      </w:r>
      <w:r>
        <w:rPr>
          <w:rFonts w:ascii="Times New Roman" w:cs="Times New Roman" w:eastAsia="Times New Roman" w:hAnsi="Times New Roman"/>
          <w:sz w:val="24"/>
          <w:szCs w:val="24"/>
        </w:rPr>
        <w:t xml:space="preserve">The noticee requests that it be allowed the statutory period of thirty days from the service of the Form GST ASMT-10 to furnish its explanation in Form GST ASMT-11, and, having regard to the nature of the discrepancy and the records to be compiled, such further time as may be necessary.</w:t>
      </w:r>
    </w:p>
    <w:p>
      <w:pPr>
        <w:pStyle w:val="ListParagraph"/>
        <w:numPr>
          <w:ilvl w:val="0"/>
          <w:numId w:val="2"/>
        </w:numPr>
        <w:spacing w:after="120"/>
        <w:jc w:val="both"/>
      </w:pPr>
      <w:r>
        <w:rPr>
          <w:rFonts w:ascii="Times New Roman" w:cs="Times New Roman" w:eastAsia="Times New Roman" w:hAnsi="Times New Roman"/>
          <w:b/>
          <w:bCs/>
          <w:sz w:val="24"/>
          <w:szCs w:val="24"/>
        </w:rPr>
        <w:t xml:space="preserve">Adjudication confined to the ASMT-10. </w:t>
      </w:r>
      <w:r>
        <w:rPr>
          <w:rFonts w:ascii="Times New Roman" w:cs="Times New Roman" w:eastAsia="Times New Roman" w:hAnsi="Times New Roman"/>
          <w:sz w:val="24"/>
          <w:szCs w:val="24"/>
        </w:rPr>
        <w:t xml:space="preserve">The noticee further submits that any subsequent proceeding must be confined to the discrepancies set out in the Form GST ASMT-10; the proper officer may proceed to determine tax under Section 73 or 74 only where no satisfactory explanation is furnished within the said thirty days, and any order cannot travel beyond the discrepancies notified.</w:t>
      </w:r>
    </w:p>
    <w:p>
      <w:pPr>
        <w:spacing w:after="80" w:before="120"/>
      </w:pPr>
      <w:r>
        <w:rPr>
          <w:rFonts w:ascii="Times New Roman" w:cs="Times New Roman" w:eastAsia="Times New Roman" w:hAnsi="Times New Roman"/>
          <w:b/>
          <w:bCs/>
          <w:sz w:val="24"/>
          <w:szCs w:val="24"/>
        </w:rPr>
        <w:t xml:space="preserve">Prayer</w:t>
      </w:r>
    </w:p>
    <w:p>
      <w:pPr>
        <w:pStyle w:val="ListParagraph"/>
        <w:numPr>
          <w:ilvl w:val="0"/>
          <w:numId w:val="3"/>
        </w:numPr>
        <w:spacing w:after="120"/>
        <w:jc w:val="both"/>
      </w:pPr>
      <w:r>
        <w:rPr>
          <w:rFonts w:ascii="Times New Roman" w:cs="Times New Roman" w:eastAsia="Times New Roman" w:hAnsi="Times New Roman"/>
          <w:sz w:val="24"/>
          <w:szCs w:val="24"/>
        </w:rPr>
        <w:t xml:space="preserve">It is respectfully prayed that the noticee be granted the statutory period of thirty days (and such further time as may be necessary) from the service of the Form GST ASMT-10 to furnish its explanation in Form GST ASMT-11, and that no further action be taken in the meanwhile.</w:t>
      </w:r>
    </w:p>
    <w:p>
      <w:r>
        <w:rPr>
          <w:rFonts w:ascii="Times New Roman" w:cs="Times New Roman" w:eastAsia="Times New Roman" w:hAnsi="Times New Roman"/>
          <w:sz w:val="24"/>
          <w:szCs w:val="24"/>
        </w:rPr>
        <w:t xml:space="preserve"/>
      </w:r>
    </w:p>
    <w:p>
      <w:pPr>
        <w:spacing w:after="2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r>
        <w:rPr>
          <w:rFonts w:ascii="Times New Roman" w:cs="Times New Roman" w:eastAsia="Times New Roman" w:hAnsi="Times New Roman"/>
          <w:sz w:val="24"/>
          <w:szCs w:val="24"/>
        </w:rPr>
        <w:t xml:space="preserve"/>
      </w:r>
    </w:p>
    <w:p>
      <w:pPr>
        <w:spacing w:after="20"/>
      </w:pPr>
      <w:r>
        <w:rPr>
          <w:rFonts w:ascii="Times New Roman" w:cs="Times New Roman" w:eastAsia="Times New Roman" w:hAnsi="Times New Roman"/>
          <w:sz w:val="24"/>
          <w:szCs w:val="24"/>
        </w:rPr>
        <w:t xml:space="preserve">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lowerLetter"/>
      <w:lvlText w:val="(%2)"/>
      <w:lvlJc w:val="start"/>
    </w:lvl>
  </w:abstractNum>
  <w:abstractNum w:abstractNumId="3" w15:restartNumberingAfterBreak="0">
    <w:multiLevelType w:val="hybridMultilevel"/>
    <w:lvl w:ilvl="0" w15:tentative="1">
      <w:start w:val="1"/>
      <w:numFmt w:val="decimal"/>
      <w:lvlText w:val="%1."/>
      <w:lvlJc w:val="start"/>
    </w:lvl>
    <w:lvl w:ilvl="1" w15:tentative="1">
      <w:start w:val="1"/>
      <w:numFmt w:val="lowerLetter"/>
      <w:lvlText w:val="(%2)"/>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2026-08-08T11:03:31.602Z</dcterms:created>
  <dcterms:modified xsi:type="dcterms:W3CDTF">2026-08-08T11:03:31.602Z</dcterms:modified>
</cp:coreProperties>
</file>

<file path=docProps/custom.xml><?xml version="1.0" encoding="utf-8"?>
<Properties xmlns="http://schemas.openxmlformats.org/officeDocument/2006/custom-properties" xmlns:vt="http://schemas.openxmlformats.org/officeDocument/2006/docPropsVTypes"/>
</file>