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RFD-08</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Notice for Rejection of Refund Claim — Refund TCS Cash Ledger S52 S54</w:t>
      </w:r>
    </w:p>
    <w:p>
      <w:pPr>
        <w:jc w:val="left"/>
      </w:pPr>
      <w:r>
        <w:rPr>
          <w:rFonts w:ascii="Times New Roman" w:hAnsi="Times New Roman"/>
          <w:b w:val="0"/>
          <w:i/>
          <w:sz w:val="24"/>
        </w:rPr>
        <w:t>Statutory reference: Section 52, RFD-08, RFD-06.</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Proper Officer (Refunds)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Company applied under Section 54 for refund of Rs. [____] lying as a balance in its electronic cash ledger. That balance arose from tax collected at source by the e-commerce operator under Section 52, on the supplies the Company made through the operator's platform, and credited to the Company's electronic cash ledger as the law provides.</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(Proper Officer (Refunds))</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