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S67(5) Copies of Seized Documents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67(5).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During the search of the Company’s registered premises on [____], the office seized the Company’s books of account and documents under a panchnama of even date. Those records are required by the Company for the ordinary conduct of its business — payment to suppliers, filing of returns, accounting and banking. Section 67(5) of the Act entitles the person from whose custody documents are seized to take copies or extracts thereof.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