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REG-17</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for Cancellation of Registration — Cancellation NotFound at Premises</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Proposes suspension / cancellation of registration under Rule 21 on the allegation that the Company does not conduct business from its declared place of business. The allegation is factually incorrect: the Company has shifted its place of business and the change is within the time limit for the amendment of registration, the application for amendment having been made / being made in accordance with Rule 19.</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