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Wrong Vehicle No Eway</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conveyance were detained, and a notice in Form GST MOV-07 under Section 129(3) issued, on the ground that the vehicle number entered in Part-B of the e-way bill did not match the conveyance carrying the goods. The error is a minor, clerical / technical one — a mis-entry of the vehicle number — the correct vehicle number being borne out by the invoice and the other documents.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