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PersonalUse Sale</w:t>
      </w:r>
    </w:p>
    <w:p>
      <w:pPr>
        <w:jc w:val="left"/>
      </w:pPr>
      <w:r>
        <w:rPr>
          <w:rFonts w:ascii="Times New Roman" w:hAnsi="Times New Roman"/>
          <w:b w:val="0"/>
          <w:i/>
          <w:sz w:val="24"/>
        </w:rPr>
        <w:t>Statutory reference: Section 7(1)(a), ASMT-10,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the registered person sold certain items (gold / electronic item / car) and did not pay GST on those sales. The items were the registered person’s personal assets, not business assets, and their sale was not made in the course or furtherance of business. As GST is levied only on a “supply” made in the course or furtherance of business, the sale of personal assets falls outside the charge and no GST is payable.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