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Sec122 InvoiceWithoutSupply</w:t>
      </w:r>
    </w:p>
    <w:p>
      <w:pPr>
        <w:jc w:val="left"/>
      </w:pPr>
      <w:r>
        <w:rPr>
          <w:rFonts w:ascii="Times New Roman" w:hAnsi="Times New Roman"/>
          <w:b w:val="0"/>
          <w:i/>
          <w:sz w:val="24"/>
        </w:rPr>
        <w:t>Statutory reference: Section 122(1)(ii).</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penalty under Section 122(1)(ii) on the footing that the registered person issued an invoice to M/s ABC Ltd without an underlying supply, the recipient being alleged to be non-existent or untraceable. The premise is incorrect on facts: the registered person made an actual supply of goods to M/s ABC Ltd, supported by tax invoices, movement documents, banking-channel receipt of consideration and purchase orders.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