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RegCancellation</w:t>
      </w:r>
    </w:p>
    <w:p>
      <w:pPr>
        <w:jc w:val="left"/>
      </w:pPr>
      <w:r>
        <w:rPr>
          <w:rFonts w:ascii="Times New Roman" w:hAnsi="Times New Roman"/>
          <w:b w:val="0"/>
          <w:i/>
          <w:sz w:val="24"/>
        </w:rPr>
        <w:t>Statutory reference: Section 107, APL-01, REG-19.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This appeal challenges the cancellation of the appellant’s registration ordered on the bare allegation that registration was obtained by fraud, wilful misstatement or suppression of facts. The show cause notice and the order recite only the statutory expression and disclose no particulars, no basis and no supporting material; the cancellation is, in consequence, in breach of natural justice and contrary to settled law.</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