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DRC01C TimingDifference</w:t>
      </w:r>
    </w:p>
    <w:p>
      <w:pPr>
        <w:jc w:val="left"/>
      </w:pPr>
      <w:r>
        <w:rPr>
          <w:rFonts w:ascii="Times New Roman" w:hAnsi="Times New Roman"/>
          <w:b w:val="0"/>
          <w:i/>
          <w:sz w:val="24"/>
        </w:rPr>
        <w:t>Statutory reference: Section 16(2)(b)),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DRC-01C intimation flags a difference between GSTR-2B and GSTR-3B for a month. The difference arises for a simple, lawful reason: the supplier raised the invoice at month-end and reported it in that month’s GSTR-1, so the credit appeared in that month’s GSTR-2B, but the goods were physically received only in the following month.</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