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MOV-07</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Notice for Detention of Goods and Conveyance under Section 129 — ASMT12 Then DRC01</w:t>
      </w:r>
    </w:p>
    <w:p>
      <w:pPr>
        <w:jc w:val="left"/>
      </w:pPr>
      <w:r>
        <w:rPr>
          <w:rFonts w:ascii="Times New Roman" w:hAnsi="Times New Roman"/>
          <w:b w:val="0"/>
          <w:i/>
          <w:sz w:val="24"/>
        </w:rPr>
        <w:t>Statutory reference: Section 61, DRC-01, ASMT-12, ASMT-10.</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The goods and conveyance described below, found moving without proper and complete documents as required under the Act and the Rules made thereunder, have been detained/seized under Section 129 of the Act.</w:t>
      </w:r>
    </w:p>
    <w:p>
      <w:pPr>
        <w:jc w:val="left"/>
      </w:pPr>
      <w:r>
        <w:rPr>
          <w:rFonts w:ascii="Times New Roman" w:hAnsi="Times New Roman"/>
          <w:b/>
          <w:i w:val="0"/>
          <w:sz w:val="24"/>
        </w:rPr>
        <w:t>ALLEGATIONS / GROUNDS</w:t>
      </w:r>
    </w:p>
    <w:p>
      <w:pPr>
        <w:jc w:val="both"/>
      </w:pPr>
      <w:r>
        <w:rPr>
          <w:rFonts w:ascii="Times New Roman" w:hAnsi="Times New Roman"/>
          <w:b w:val="0"/>
          <w:i w:val="0"/>
          <w:sz w:val="24"/>
        </w:rPr>
        <w:t>On scrutiny of returns under Section 61, the office issued FORM GST ASMT-10 raising the very discrepancy now alleged; the registered person explained it in FORM GST ASMT-11; and the proper officer, satisfied, dropped the proceeding by FORM GST ASMT-12. Section 61(2) provides that where the explanation is found acceptable, the registered person shall be informed and “no further action shall be taken in this regard.” The present notice resurrects the same discrepancy for the same period and the same amounts.</w:t>
      </w:r>
    </w:p>
    <w:p>
      <w:pPr>
        <w:jc w:val="left"/>
      </w:pPr>
      <w:r>
        <w:rPr>
          <w:rFonts w:ascii="Times New Roman" w:hAnsi="Times New Roman"/>
          <w:b/>
          <w:i w:val="0"/>
          <w:sz w:val="24"/>
        </w:rPr>
        <w:t>DIRECTION</w:t>
      </w:r>
    </w:p>
    <w:p>
      <w:pPr>
        <w:jc w:val="both"/>
      </w:pPr>
      <w:r>
        <w:rPr>
          <w:rFonts w:ascii="Times New Roman" w:hAnsi="Times New Roman"/>
          <w:b w:val="0"/>
          <w:i w:val="0"/>
          <w:sz w:val="24"/>
        </w:rPr>
        <w:t>You are directed to show cause within seven days of this notice as to why tax and penalty as computed should not be levied under Section 129, failing which proceedings for confiscation under Section 130 may be initiated.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(Proper Officer (Mobile Squad))</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