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LateFee GSTR9C</w:t>
      </w:r>
    </w:p>
    <w:p>
      <w:pPr>
        <w:jc w:val="left"/>
      </w:pPr>
      <w:r>
        <w:rPr>
          <w:rFonts w:ascii="Times New Roman" w:hAnsi="Times New Roman"/>
          <w:b w:val="0"/>
          <w:i/>
          <w:sz w:val="24"/>
        </w:rPr>
        <w:t>Statutory reference: Section 47(2), GSTR-9C, GSTR-9.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demands late fee under Section 47(2) for the delayed filing of FORM GSTR-9C for FY 2017-18. The demand has no charging provision: Section 47(2) levies late fee for failure to furnish the return under Section 44 — the annual return in FORM GSTR-9 — and, for the period in question, GSTR-9C was a reconciliation statement under Section 35(5), not a return.</w:t>
      </w:r>
    </w:p>
    <w:p>
      <w:pPr>
        <w:jc w:val="both"/>
      </w:pPr>
      <w:r>
        <w:rPr>
          <w:rFonts w:ascii="Times New Roman" w:hAnsi="Times New Roman"/>
          <w:b w:val="0"/>
          <w:i w:val="0"/>
          <w:sz w:val="24"/>
        </w:rPr>
        <w:t>The amount involved / demanded is computed at approximately Rs. 10,000,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