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Shares HoldingCo</w:t>
      </w:r>
    </w:p>
    <w:p>
      <w:pPr>
        <w:jc w:val="left"/>
      </w:pPr>
      <w:r>
        <w:rPr>
          <w:rFonts w:ascii="Times New Roman" w:hAnsi="Times New Roman"/>
          <w:b w:val="0"/>
          <w:i/>
          <w:sz w:val="24"/>
        </w:rPr>
        <w:t>Statutory reference: Section 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demands GST on the value of shares held by a holding company in its subsidiary, treating the holding as a supply of service under SAC 997171. The CBIC has clarified the contrary in terms: securities — which include shares — are neither goods nor services under Sections 2(52) and 2(102); the purchase, sale or holding of securities is not, by itself, a supply; and the SAC entry cannot create a levy where there is no supply under Section 7.</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