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DRC-01</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Show Cause Notice under Section 73 — Sec73 Penalty PaidWithin30Days</w:t>
      </w:r>
    </w:p>
    <w:p>
      <w:pPr>
        <w:jc w:val="left"/>
      </w:pPr>
      <w:r>
        <w:rPr>
          <w:rFonts w:ascii="Times New Roman" w:hAnsi="Times New Roman"/>
          <w:b w:val="0"/>
          <w:i/>
          <w:sz w:val="24"/>
        </w:rPr>
        <w:t>Statutory reference: Section 73, DRC-03, DRC-03A, SPL-01.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Superintendent of Central Tax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notice proposes a penalty of ten per cent under Section 73(9) although the tax was paid through FORM GST DRC-03 — either before the notice, or within thirty days of it. In the first case Section 73(6) bars any notice and any penalty; in the second Section 73(8) deems all proceedings in respect of the notice to be concluded, with no penalty.</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(Superintendent Of Central Tax)</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