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Sec130 ExcessStock</w:t>
      </w:r>
    </w:p>
    <w:p>
      <w:pPr>
        <w:jc w:val="left"/>
      </w:pPr>
      <w:r>
        <w:rPr>
          <w:rFonts w:ascii="Times New Roman" w:hAnsi="Times New Roman"/>
          <w:b w:val="0"/>
          <w:i/>
          <w:sz w:val="24"/>
        </w:rPr>
        <w:t>Statutory reference: Section 130.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on a survey of the premises, the physical stock exceeded the stock as per the books, and proposes confiscation and penalty under Section 130 with interest under Section 50. The proposal is misconceived in law. A discrepancy of stock in the premises — even if correctly found — is to be dealt with by determination of tax under Sections 73/74 read with Section 35(6), not by confiscation under Section 130.</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