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PenaltyOnly Appeal Maintainable</w:t>
      </w:r>
    </w:p>
    <w:p>
      <w:pPr>
        <w:jc w:val="left"/>
      </w:pPr>
      <w:r>
        <w:rPr>
          <w:rFonts w:ascii="Times New Roman" w:hAnsi="Times New Roman"/>
          <w:b w:val="0"/>
          <w:i/>
          <w:sz w:val="24"/>
        </w:rPr>
        <w:t>Statutory reference: Section 107, DRC-07, APL-01.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intimation asserts that, the tax having been paid, the appellant cannot appeal against the penalty alone. The assertion is contrary to Section 107. An appeal lies against “any decision or order,” which includes any part of an order; an order confirming tax, interest and penalty is appealable as to the penalty alone, and the appeal form itself provides separate columns for tax, interest and penalty, contemplating exactly this.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