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REG21 Revocation ReturnsNowFiled</w:t>
      </w:r>
    </w:p>
    <w:p>
      <w:pPr>
        <w:jc w:val="left"/>
      </w:pPr>
      <w:r>
        <w:rPr>
          <w:rFonts w:ascii="Times New Roman" w:hAnsi="Times New Roman"/>
          <w:b w:val="0"/>
          <w:i/>
          <w:sz w:val="24"/>
        </w:rPr>
        <w:t>Statutory reference: Section 29(2)(c), REG-21,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Registration was cancelled under Section 29(2)(c) for non-furnishing of returns for a continuous period exceeding six months. All such pending returns, together with the tax, interest and late fee due thereon, have since been filed and paid in full, satisfying the pre-condition under Rule 23(1) for revocation.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